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E8BD" w14:textId="31180A0A" w:rsidR="00EA6C38" w:rsidRPr="006E473F" w:rsidRDefault="00EA6C38" w:rsidP="00A417CA">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A065B7">
        <w:rPr>
          <w:b/>
          <w:sz w:val="24"/>
          <w:szCs w:val="24"/>
          <w:lang w:eastAsia="ko-KR"/>
        </w:rPr>
        <w:t xml:space="preserve"> </w:t>
      </w:r>
      <w:r w:rsidR="00DF1AD6">
        <w:rPr>
          <w:b/>
          <w:sz w:val="24"/>
          <w:szCs w:val="24"/>
          <w:lang w:eastAsia="ko-KR"/>
        </w:rPr>
        <w:t>M</w:t>
      </w:r>
      <w:r w:rsidR="00C228D9">
        <w:rPr>
          <w:rFonts w:hint="eastAsia"/>
          <w:b/>
          <w:sz w:val="24"/>
          <w:szCs w:val="24"/>
          <w:lang w:eastAsia="ko-KR"/>
        </w:rPr>
        <w:t xml:space="preserve">eeting </w:t>
      </w:r>
      <w:r w:rsidR="00C228D9">
        <w:rPr>
          <w:b/>
          <w:sz w:val="24"/>
          <w:szCs w:val="24"/>
          <w:lang w:eastAsia="ko-KR"/>
        </w:rPr>
        <w:t>#88</w:t>
      </w:r>
      <w:r w:rsidR="00E807B4">
        <w:rPr>
          <w:b/>
          <w:sz w:val="24"/>
          <w:szCs w:val="24"/>
          <w:lang w:eastAsia="ko-KR"/>
        </w:rPr>
        <w:t>bis</w:t>
      </w:r>
      <w:r w:rsidRPr="006E473F">
        <w:rPr>
          <w:rFonts w:hint="eastAsia"/>
          <w:b/>
          <w:sz w:val="24"/>
          <w:szCs w:val="24"/>
          <w:lang w:eastAsia="ko-KR"/>
        </w:rPr>
        <w:tab/>
      </w:r>
      <w:r w:rsidR="002A7C2F" w:rsidRPr="005C21D8">
        <w:rPr>
          <w:b/>
          <w:i/>
          <w:sz w:val="24"/>
          <w:szCs w:val="24"/>
          <w:lang w:eastAsia="ko-KR"/>
        </w:rPr>
        <w:t>R1-</w:t>
      </w:r>
      <w:r w:rsidR="00C2725F" w:rsidRPr="00C2725F">
        <w:rPr>
          <w:b/>
          <w:i/>
          <w:sz w:val="24"/>
          <w:szCs w:val="24"/>
          <w:lang w:eastAsia="ko-KR"/>
        </w:rPr>
        <w:t>1705434</w:t>
      </w:r>
    </w:p>
    <w:bookmarkEnd w:id="0"/>
    <w:bookmarkEnd w:id="1"/>
    <w:p w14:paraId="29ED6FC8" w14:textId="2B6EC879" w:rsidR="006D2ED0" w:rsidRPr="00E807B4" w:rsidRDefault="00E807B4" w:rsidP="00A417CA">
      <w:pPr>
        <w:pStyle w:val="CRCoverPage"/>
        <w:spacing w:after="240"/>
        <w:jc w:val="both"/>
        <w:outlineLvl w:val="0"/>
        <w:rPr>
          <w:b/>
          <w:noProof/>
          <w:sz w:val="24"/>
          <w:szCs w:val="24"/>
        </w:rPr>
      </w:pPr>
      <w:r w:rsidRPr="00E807B4">
        <w:rPr>
          <w:b/>
          <w:bCs/>
          <w:noProof/>
          <w:sz w:val="24"/>
          <w:szCs w:val="24"/>
          <w:lang w:eastAsia="ko-KR"/>
        </w:rPr>
        <w:t>Spokane, USA 3rd - 7th April 2017</w:t>
      </w:r>
    </w:p>
    <w:p w14:paraId="14E60C53" w14:textId="03033009" w:rsidR="0072162A" w:rsidRDefault="0072162A" w:rsidP="00A417C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228D9">
        <w:rPr>
          <w:rFonts w:ascii="Arial" w:hAnsi="Arial"/>
          <w:sz w:val="24"/>
        </w:rPr>
        <w:t>8</w:t>
      </w:r>
      <w:r w:rsidR="00A065B7">
        <w:rPr>
          <w:rFonts w:ascii="Arial" w:hAnsi="Arial"/>
          <w:sz w:val="24"/>
        </w:rPr>
        <w:t>.1.</w:t>
      </w:r>
      <w:r w:rsidR="00C228D9">
        <w:rPr>
          <w:rFonts w:ascii="Arial" w:hAnsi="Arial"/>
          <w:sz w:val="24"/>
        </w:rPr>
        <w:t>7</w:t>
      </w:r>
    </w:p>
    <w:p w14:paraId="58737643" w14:textId="77777777" w:rsidR="0072162A" w:rsidRDefault="0072162A" w:rsidP="00A417CA">
      <w:pPr>
        <w:tabs>
          <w:tab w:val="left" w:pos="1985"/>
        </w:tabs>
        <w:ind w:left="2040" w:hangingChars="850" w:hanging="2040"/>
        <w:jc w:val="both"/>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608CC553" w14:textId="38187F5C" w:rsidR="0072162A" w:rsidRPr="004D7CAE" w:rsidRDefault="0072162A" w:rsidP="00A417CA">
      <w:pPr>
        <w:tabs>
          <w:tab w:val="left" w:pos="1985"/>
        </w:tabs>
        <w:ind w:left="2040" w:hangingChars="850" w:hanging="2040"/>
        <w:jc w:val="both"/>
        <w:rPr>
          <w:rFonts w:ascii="Arial" w:hAnsi="Arial"/>
          <w:sz w:val="24"/>
          <w:lang w:eastAsia="ko-KR"/>
        </w:rPr>
      </w:pPr>
      <w:r>
        <w:rPr>
          <w:rFonts w:ascii="Arial" w:hAnsi="Arial"/>
          <w:b/>
          <w:sz w:val="24"/>
        </w:rPr>
        <w:t>Title:</w:t>
      </w:r>
      <w:r>
        <w:rPr>
          <w:rFonts w:ascii="Arial" w:hAnsi="Arial"/>
          <w:b/>
          <w:sz w:val="24"/>
        </w:rPr>
        <w:tab/>
      </w:r>
      <w:r w:rsidR="00B5273D" w:rsidRPr="00B5273D">
        <w:rPr>
          <w:rFonts w:ascii="Arial" w:hAnsi="Arial"/>
          <w:sz w:val="24"/>
        </w:rPr>
        <w:t xml:space="preserve">Wider </w:t>
      </w:r>
      <w:r w:rsidR="00534C3C">
        <w:rPr>
          <w:rFonts w:ascii="Arial" w:hAnsi="Arial"/>
          <w:sz w:val="24"/>
        </w:rPr>
        <w:t>B</w:t>
      </w:r>
      <w:r w:rsidR="00B5273D" w:rsidRPr="00B5273D">
        <w:rPr>
          <w:rFonts w:ascii="Arial" w:hAnsi="Arial"/>
          <w:sz w:val="24"/>
        </w:rPr>
        <w:t xml:space="preserve">andwidth </w:t>
      </w:r>
      <w:r w:rsidR="00534C3C">
        <w:rPr>
          <w:rFonts w:ascii="Arial" w:hAnsi="Arial"/>
          <w:sz w:val="24"/>
        </w:rPr>
        <w:t>O</w:t>
      </w:r>
      <w:r w:rsidR="00534C3C" w:rsidRPr="00B5273D">
        <w:rPr>
          <w:rFonts w:ascii="Arial" w:hAnsi="Arial"/>
          <w:sz w:val="24"/>
        </w:rPr>
        <w:t>peration</w:t>
      </w:r>
      <w:r w:rsidR="00534C3C">
        <w:rPr>
          <w:rFonts w:ascii="Arial" w:hAnsi="Arial"/>
          <w:sz w:val="24"/>
        </w:rPr>
        <w:t>s</w:t>
      </w:r>
    </w:p>
    <w:p w14:paraId="137AEAF4" w14:textId="77777777" w:rsidR="002938B1" w:rsidRPr="007F1E32" w:rsidRDefault="002938B1" w:rsidP="00A417CA">
      <w:pPr>
        <w:tabs>
          <w:tab w:val="left" w:pos="1985"/>
        </w:tabs>
        <w:ind w:left="2040" w:hangingChars="850" w:hanging="2040"/>
        <w:jc w:val="both"/>
        <w:rPr>
          <w:rFonts w:ascii="Arial" w:hAnsi="Arial"/>
          <w:b/>
          <w:sz w:val="24"/>
        </w:rPr>
      </w:pPr>
      <w:r w:rsidRPr="00D25DA1">
        <w:rPr>
          <w:rFonts w:ascii="Arial" w:hAnsi="Arial"/>
          <w:b/>
          <w:sz w:val="24"/>
        </w:rPr>
        <w:t>Document for:</w:t>
      </w:r>
      <w:r w:rsidR="001B0D8A" w:rsidRPr="00D25DA1">
        <w:rPr>
          <w:rFonts w:ascii="Arial" w:hAnsi="Arial"/>
          <w:b/>
          <w:sz w:val="24"/>
        </w:rPr>
        <w:tab/>
      </w:r>
      <w:r w:rsidR="004C0799">
        <w:rPr>
          <w:rFonts w:ascii="Arial" w:hAnsi="Arial"/>
          <w:sz w:val="24"/>
        </w:rPr>
        <w:t>D</w:t>
      </w:r>
      <w:r w:rsidRPr="00AE7FA8">
        <w:rPr>
          <w:rFonts w:ascii="Arial" w:hAnsi="Arial" w:hint="eastAsia"/>
          <w:sz w:val="24"/>
        </w:rPr>
        <w:t>iscussion</w:t>
      </w:r>
      <w:r w:rsidR="004C0799">
        <w:rPr>
          <w:rFonts w:ascii="Arial" w:hAnsi="Arial"/>
          <w:sz w:val="24"/>
        </w:rPr>
        <w:t xml:space="preserve"> and decision</w:t>
      </w:r>
    </w:p>
    <w:p w14:paraId="6D945865" w14:textId="77777777" w:rsidR="002938B1" w:rsidRDefault="002938B1" w:rsidP="0057205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1ECAA37" w14:textId="0BECDEB6" w:rsidR="004552CE" w:rsidRDefault="00453E90" w:rsidP="000D101D">
      <w:pPr>
        <w:spacing w:after="0" w:line="288" w:lineRule="auto"/>
        <w:jc w:val="both"/>
        <w:rPr>
          <w:color w:val="000000" w:themeColor="text1"/>
          <w:lang w:eastAsia="ko-KR"/>
        </w:rPr>
      </w:pPr>
      <w:r>
        <w:rPr>
          <w:color w:val="000000" w:themeColor="text1"/>
          <w:lang w:eastAsia="ko-KR"/>
        </w:rPr>
        <w:t>RAN1 concluded</w:t>
      </w:r>
      <w:r w:rsidR="003C4421">
        <w:rPr>
          <w:color w:val="000000" w:themeColor="text1"/>
          <w:lang w:eastAsia="ko-KR"/>
        </w:rPr>
        <w:t xml:space="preserve"> from NR SI</w:t>
      </w:r>
      <w:r>
        <w:rPr>
          <w:color w:val="000000" w:themeColor="text1"/>
          <w:lang w:eastAsia="ko-KR"/>
        </w:rPr>
        <w:t xml:space="preserve"> that maximum channel </w:t>
      </w:r>
      <w:r w:rsidRPr="00E47EF1">
        <w:rPr>
          <w:rFonts w:eastAsia="MS Mincho"/>
          <w:lang w:val="en-US" w:eastAsia="ja-JP"/>
        </w:rPr>
        <w:t>bandwidth per NR carrier is 400 MHz in Rel-15</w:t>
      </w:r>
      <w:r>
        <w:rPr>
          <w:rFonts w:eastAsia="MS Mincho"/>
          <w:lang w:val="en-US" w:eastAsia="ja-JP"/>
        </w:rPr>
        <w:t xml:space="preserve"> and </w:t>
      </w:r>
      <w:r w:rsidRPr="00E47EF1">
        <w:rPr>
          <w:rFonts w:eastAsia="MS Mincho"/>
          <w:lang w:val="en-US" w:eastAsia="ja-JP"/>
        </w:rPr>
        <w:t>the maximum number of NR carriers for CA and DC is 16</w:t>
      </w:r>
      <w:r>
        <w:rPr>
          <w:rFonts w:eastAsia="MS Mincho"/>
          <w:lang w:val="en-US" w:eastAsia="ja-JP"/>
        </w:rPr>
        <w:t xml:space="preserve"> from RAN1 specification perspective</w:t>
      </w:r>
      <w:r w:rsidRPr="00A65F2B">
        <w:rPr>
          <w:rFonts w:eastAsia="MS Mincho"/>
          <w:lang w:val="en-US" w:eastAsia="ja-JP"/>
        </w:rPr>
        <w:t>.</w:t>
      </w:r>
      <w:r>
        <w:rPr>
          <w:rFonts w:eastAsia="MS Mincho"/>
          <w:lang w:val="en-US" w:eastAsia="ja-JP"/>
        </w:rPr>
        <w:t xml:space="preserve"> </w:t>
      </w:r>
      <w:r w:rsidR="006118BE">
        <w:rPr>
          <w:color w:val="000000" w:themeColor="text1"/>
          <w:lang w:eastAsia="ko-KR"/>
        </w:rPr>
        <w:t xml:space="preserve">This contribution </w:t>
      </w:r>
      <w:r>
        <w:rPr>
          <w:color w:val="000000" w:themeColor="text1"/>
          <w:lang w:eastAsia="ko-KR"/>
        </w:rPr>
        <w:t xml:space="preserve">presents our view on NR </w:t>
      </w:r>
      <w:r w:rsidR="00B72CCF">
        <w:rPr>
          <w:color w:val="000000" w:themeColor="text1"/>
          <w:lang w:eastAsia="ko-KR"/>
        </w:rPr>
        <w:t>wider bandwidth operation</w:t>
      </w:r>
      <w:r>
        <w:rPr>
          <w:color w:val="000000" w:themeColor="text1"/>
          <w:lang w:eastAsia="ko-KR"/>
        </w:rPr>
        <w:t xml:space="preserve">s </w:t>
      </w:r>
      <w:r w:rsidR="009931F7">
        <w:rPr>
          <w:color w:val="000000" w:themeColor="text1"/>
          <w:lang w:eastAsia="ko-KR"/>
        </w:rPr>
        <w:t>including:</w:t>
      </w:r>
      <w:r w:rsidR="00653BCF" w:rsidRPr="007A324D">
        <w:rPr>
          <w:color w:val="000000" w:themeColor="text1"/>
          <w:lang w:eastAsia="ko-KR"/>
        </w:rPr>
        <w:t xml:space="preserve"> </w:t>
      </w:r>
    </w:p>
    <w:p w14:paraId="6C922709" w14:textId="77777777" w:rsidR="00475EF9" w:rsidRPr="00475EF9" w:rsidRDefault="00475EF9" w:rsidP="00475EF9">
      <w:pPr>
        <w:pStyle w:val="a4"/>
        <w:numPr>
          <w:ilvl w:val="0"/>
          <w:numId w:val="35"/>
        </w:numPr>
        <w:spacing w:after="0" w:line="288" w:lineRule="auto"/>
        <w:ind w:leftChars="0"/>
        <w:jc w:val="both"/>
        <w:rPr>
          <w:color w:val="000000" w:themeColor="text1"/>
          <w:lang w:eastAsia="ko-KR"/>
        </w:rPr>
      </w:pPr>
      <w:r w:rsidRPr="00475EF9">
        <w:rPr>
          <w:lang w:val="en-US"/>
        </w:rPr>
        <w:t xml:space="preserve">Numerology for wider bandwidth </w:t>
      </w:r>
      <w:r w:rsidRPr="00475EF9">
        <w:rPr>
          <w:color w:val="000000" w:themeColor="text1"/>
        </w:rPr>
        <w:t>and resource allocation</w:t>
      </w:r>
    </w:p>
    <w:p w14:paraId="60F71BF2" w14:textId="0344EDF0" w:rsidR="008D6EDB" w:rsidRPr="00475EF9" w:rsidRDefault="00293741" w:rsidP="00475EF9">
      <w:pPr>
        <w:pStyle w:val="a4"/>
        <w:numPr>
          <w:ilvl w:val="0"/>
          <w:numId w:val="35"/>
        </w:numPr>
        <w:spacing w:after="0" w:line="288" w:lineRule="auto"/>
        <w:ind w:leftChars="0"/>
        <w:jc w:val="both"/>
        <w:rPr>
          <w:color w:val="000000" w:themeColor="text1"/>
          <w:lang w:eastAsia="ko-KR"/>
        </w:rPr>
      </w:pPr>
      <w:r w:rsidRPr="00475EF9">
        <w:rPr>
          <w:color w:val="000000" w:themeColor="text1"/>
          <w:lang w:eastAsia="ko-KR"/>
        </w:rPr>
        <w:t xml:space="preserve">Bandwidth </w:t>
      </w:r>
      <w:r w:rsidR="008D6EDB" w:rsidRPr="00475EF9">
        <w:rPr>
          <w:color w:val="000000" w:themeColor="text1"/>
          <w:lang w:eastAsia="ko-KR"/>
        </w:rPr>
        <w:t>configurations</w:t>
      </w:r>
      <w:r w:rsidRPr="00475EF9">
        <w:rPr>
          <w:color w:val="000000" w:themeColor="text1"/>
          <w:lang w:eastAsia="ko-KR"/>
        </w:rPr>
        <w:t xml:space="preserve"> for single carrier wideband operations</w:t>
      </w:r>
    </w:p>
    <w:p w14:paraId="72188059" w14:textId="2215B53B" w:rsidR="00DD67B3" w:rsidRPr="00475EF9" w:rsidRDefault="008D6EDB" w:rsidP="00475EF9">
      <w:pPr>
        <w:pStyle w:val="a4"/>
        <w:numPr>
          <w:ilvl w:val="0"/>
          <w:numId w:val="35"/>
        </w:numPr>
        <w:spacing w:after="0" w:line="288" w:lineRule="auto"/>
        <w:ind w:leftChars="0"/>
        <w:jc w:val="both"/>
        <w:rPr>
          <w:color w:val="000000" w:themeColor="text1"/>
          <w:lang w:eastAsia="ko-KR"/>
        </w:rPr>
      </w:pPr>
      <w:r w:rsidRPr="00475EF9">
        <w:rPr>
          <w:color w:val="000000" w:themeColor="text1"/>
          <w:lang w:eastAsia="ko-KR"/>
        </w:rPr>
        <w:t xml:space="preserve">Possible </w:t>
      </w:r>
      <w:r w:rsidR="00DE31D6" w:rsidRPr="00475EF9">
        <w:rPr>
          <w:color w:val="000000" w:themeColor="text1"/>
          <w:lang w:eastAsia="ko-KR"/>
        </w:rPr>
        <w:t>m</w:t>
      </w:r>
      <w:r w:rsidRPr="00475EF9">
        <w:rPr>
          <w:color w:val="000000" w:themeColor="text1"/>
          <w:lang w:eastAsia="ko-KR"/>
        </w:rPr>
        <w:t>odes of operation for single carrier</w:t>
      </w:r>
    </w:p>
    <w:p w14:paraId="5374C8F7" w14:textId="5BC37F84" w:rsidR="007E0B4A" w:rsidRDefault="00DC1ECF" w:rsidP="00475EF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000000" w:themeColor="text1"/>
        </w:rPr>
      </w:pPr>
      <w:r>
        <w:rPr>
          <w:lang w:val="en-US"/>
        </w:rPr>
        <w:t>Numerology for wider bandwidth</w:t>
      </w:r>
    </w:p>
    <w:p w14:paraId="1DD273EF" w14:textId="15571E66" w:rsidR="001450CD" w:rsidRDefault="001450CD" w:rsidP="00333C11">
      <w:pPr>
        <w:spacing w:after="120" w:line="288" w:lineRule="auto"/>
        <w:jc w:val="both"/>
        <w:rPr>
          <w:lang w:val="en-US" w:eastAsia="ko-KR"/>
        </w:rPr>
      </w:pPr>
      <w:r>
        <w:rPr>
          <w:lang w:val="en-US" w:eastAsia="ko-KR"/>
        </w:rPr>
        <w:t xml:space="preserve">From RAN1 perspective, it was </w:t>
      </w:r>
      <w:r w:rsidR="00C74FE6">
        <w:rPr>
          <w:lang w:val="en-US" w:eastAsia="ko-KR"/>
        </w:rPr>
        <w:t xml:space="preserve">agreed that the </w:t>
      </w:r>
      <w:r w:rsidR="00C74FE6" w:rsidRPr="00475EF9">
        <w:rPr>
          <w:lang w:val="en-US" w:eastAsia="ko-KR"/>
        </w:rPr>
        <w:t xml:space="preserve">maximum channel bandwidth per NR carrier </w:t>
      </w:r>
      <w:r w:rsidR="00C74FE6">
        <w:rPr>
          <w:lang w:val="en-US" w:eastAsia="ko-KR"/>
        </w:rPr>
        <w:t xml:space="preserve">in Rel-15 </w:t>
      </w:r>
      <w:r w:rsidR="00C74FE6" w:rsidRPr="00475EF9">
        <w:rPr>
          <w:lang w:val="en-US" w:eastAsia="ko-KR"/>
        </w:rPr>
        <w:t xml:space="preserve">is 400 </w:t>
      </w:r>
      <w:proofErr w:type="spellStart"/>
      <w:r w:rsidR="00C74FE6" w:rsidRPr="00475EF9">
        <w:rPr>
          <w:lang w:val="en-US" w:eastAsia="ko-KR"/>
        </w:rPr>
        <w:t>MHz</w:t>
      </w:r>
      <w:r>
        <w:rPr>
          <w:lang w:val="en-US" w:eastAsia="ko-KR"/>
        </w:rPr>
        <w:t>.</w:t>
      </w:r>
      <w:proofErr w:type="spellEnd"/>
      <w:r>
        <w:rPr>
          <w:lang w:val="en-US" w:eastAsia="ko-KR"/>
        </w:rPr>
        <w:t xml:space="preserve"> In addition, a</w:t>
      </w:r>
      <w:r w:rsidR="00C74FE6">
        <w:rPr>
          <w:lang w:val="en-US" w:eastAsia="ko-KR"/>
        </w:rPr>
        <w:t xml:space="preserve">t least for single numerology case, </w:t>
      </w:r>
      <w:r>
        <w:rPr>
          <w:lang w:val="en-US" w:eastAsia="ko-KR"/>
        </w:rPr>
        <w:t xml:space="preserve">candidates of the </w:t>
      </w:r>
      <w:r w:rsidR="00C74FE6" w:rsidRPr="00475EF9">
        <w:rPr>
          <w:lang w:val="en-US" w:eastAsia="ko-KR"/>
        </w:rPr>
        <w:t>maxim</w:t>
      </w:r>
      <w:r w:rsidR="00C74FE6">
        <w:rPr>
          <w:lang w:val="en-US" w:eastAsia="ko-KR"/>
        </w:rPr>
        <w:t>um</w:t>
      </w:r>
      <w:r w:rsidR="00C74FE6" w:rsidRPr="00475EF9">
        <w:rPr>
          <w:lang w:val="en-US" w:eastAsia="ko-KR"/>
        </w:rPr>
        <w:t xml:space="preserve"> number of subcarriers is 3300 or 6600</w:t>
      </w:r>
      <w:r>
        <w:rPr>
          <w:lang w:val="en-US" w:eastAsia="ko-KR"/>
        </w:rPr>
        <w:t xml:space="preserve"> in Rel-15 (it is up to RAN4 for the final decision on the value). </w:t>
      </w:r>
    </w:p>
    <w:p w14:paraId="64E45788" w14:textId="7BCB533F" w:rsidR="00C74FE6" w:rsidRDefault="001450CD" w:rsidP="00333C11">
      <w:pPr>
        <w:spacing w:after="120" w:line="288" w:lineRule="auto"/>
        <w:jc w:val="both"/>
        <w:rPr>
          <w:lang w:val="en-US" w:eastAsia="ko-KR"/>
        </w:rPr>
      </w:pPr>
      <w:r>
        <w:rPr>
          <w:lang w:val="en-US" w:eastAsia="ko-KR"/>
        </w:rPr>
        <w:t xml:space="preserve">The </w:t>
      </w:r>
      <w:r w:rsidRPr="009C5F24">
        <w:rPr>
          <w:lang w:val="en-US" w:eastAsia="ko-KR"/>
        </w:rPr>
        <w:t>maxim</w:t>
      </w:r>
      <w:r>
        <w:rPr>
          <w:lang w:val="en-US" w:eastAsia="ko-KR"/>
        </w:rPr>
        <w:t>um</w:t>
      </w:r>
      <w:r w:rsidRPr="009C5F24">
        <w:rPr>
          <w:lang w:val="en-US" w:eastAsia="ko-KR"/>
        </w:rPr>
        <w:t xml:space="preserve"> number of subcarrier</w:t>
      </w:r>
      <w:r>
        <w:rPr>
          <w:lang w:val="en-US" w:eastAsia="ko-KR"/>
        </w:rPr>
        <w:t>s</w:t>
      </w:r>
      <w:r w:rsidR="00C74FE6" w:rsidRPr="00475EF9">
        <w:rPr>
          <w:lang w:val="en-US" w:eastAsia="ko-KR"/>
        </w:rPr>
        <w:t xml:space="preserve"> has the implication o</w:t>
      </w:r>
      <w:r>
        <w:rPr>
          <w:lang w:val="en-US" w:eastAsia="ko-KR"/>
        </w:rPr>
        <w:t>n the</w:t>
      </w:r>
      <w:r w:rsidR="00C74FE6" w:rsidRPr="00475EF9">
        <w:rPr>
          <w:lang w:val="en-US" w:eastAsia="ko-KR"/>
        </w:rPr>
        <w:t xml:space="preserve"> maximum FFT size. </w:t>
      </w:r>
      <w:r>
        <w:rPr>
          <w:lang w:val="en-US" w:eastAsia="ko-KR"/>
        </w:rPr>
        <w:t>However, f</w:t>
      </w:r>
      <w:r w:rsidR="00C74FE6">
        <w:rPr>
          <w:lang w:val="en-US" w:eastAsia="ko-KR"/>
        </w:rPr>
        <w:t xml:space="preserve">rom implementation perspective, </w:t>
      </w:r>
      <w:r>
        <w:rPr>
          <w:lang w:val="en-US" w:eastAsia="ko-KR"/>
        </w:rPr>
        <w:t xml:space="preserve">it is our view that </w:t>
      </w:r>
      <w:r w:rsidR="00C74FE6">
        <w:rPr>
          <w:lang w:val="en-US" w:eastAsia="ko-KR"/>
        </w:rPr>
        <w:t xml:space="preserve">the </w:t>
      </w:r>
      <w:r>
        <w:rPr>
          <w:lang w:val="en-US" w:eastAsia="ko-KR"/>
        </w:rPr>
        <w:t xml:space="preserve">candidate </w:t>
      </w:r>
      <w:r w:rsidR="00C74FE6" w:rsidRPr="00475EF9">
        <w:rPr>
          <w:lang w:val="en-US" w:eastAsia="ko-KR"/>
        </w:rPr>
        <w:t>maximum FFT size (e.g., 4096, 8192) is not a limiting factor</w:t>
      </w:r>
      <w:r w:rsidR="00333C11">
        <w:rPr>
          <w:lang w:val="en-US" w:eastAsia="ko-KR"/>
        </w:rPr>
        <w:t>.</w:t>
      </w:r>
    </w:p>
    <w:p w14:paraId="45F0280D" w14:textId="22F599CB" w:rsidR="00C74FE6" w:rsidRDefault="00C74FE6" w:rsidP="00333C11">
      <w:pPr>
        <w:spacing w:after="120" w:line="288" w:lineRule="auto"/>
        <w:jc w:val="both"/>
        <w:rPr>
          <w:lang w:val="en-US" w:eastAsia="ko-KR"/>
        </w:rPr>
      </w:pPr>
      <w:r w:rsidRPr="005C6CB0">
        <w:rPr>
          <w:b/>
          <w:i/>
          <w:lang w:val="en-US" w:eastAsia="ko-KR"/>
        </w:rPr>
        <w:t>Observation</w:t>
      </w:r>
      <w:r w:rsidR="00807372">
        <w:rPr>
          <w:b/>
          <w:i/>
          <w:lang w:val="en-US" w:eastAsia="ko-KR"/>
        </w:rPr>
        <w:t xml:space="preserve"> 1</w:t>
      </w:r>
      <w:r w:rsidRPr="005C6CB0">
        <w:rPr>
          <w:b/>
          <w:i/>
          <w:lang w:val="en-US" w:eastAsia="ko-KR"/>
        </w:rPr>
        <w:t xml:space="preserve">: From implementation perspective, the candidate maximum FFT size (e.g., 4096, 8192) </w:t>
      </w:r>
      <w:r>
        <w:rPr>
          <w:b/>
          <w:i/>
          <w:lang w:val="en-US" w:eastAsia="ko-KR"/>
        </w:rPr>
        <w:t>i</w:t>
      </w:r>
      <w:r w:rsidRPr="005C6CB0">
        <w:rPr>
          <w:b/>
          <w:i/>
          <w:lang w:val="en-US" w:eastAsia="ko-KR"/>
        </w:rPr>
        <w:t xml:space="preserve">s not </w:t>
      </w:r>
      <w:r>
        <w:rPr>
          <w:b/>
          <w:i/>
          <w:lang w:val="en-US" w:eastAsia="ko-KR"/>
        </w:rPr>
        <w:t xml:space="preserve">a </w:t>
      </w:r>
      <w:r w:rsidRPr="005C6CB0">
        <w:rPr>
          <w:b/>
          <w:i/>
          <w:lang w:val="en-US" w:eastAsia="ko-KR"/>
        </w:rPr>
        <w:t>limiting factor</w:t>
      </w:r>
      <w:r>
        <w:rPr>
          <w:b/>
          <w:i/>
          <w:lang w:val="en-US" w:eastAsia="ko-KR"/>
        </w:rPr>
        <w:t>.</w:t>
      </w:r>
    </w:p>
    <w:p w14:paraId="1FAA0307" w14:textId="606E50BE" w:rsidR="00063081" w:rsidRPr="0004432A" w:rsidRDefault="00063081" w:rsidP="004B4C03">
      <w:pPr>
        <w:spacing w:after="0" w:line="288" w:lineRule="auto"/>
        <w:jc w:val="both"/>
        <w:rPr>
          <w:lang w:val="en-US"/>
        </w:rPr>
      </w:pPr>
      <w:r w:rsidRPr="0004432A">
        <w:rPr>
          <w:lang w:val="en-US"/>
        </w:rPr>
        <w:t xml:space="preserve">According to </w:t>
      </w:r>
      <w:r w:rsidRPr="0004432A">
        <w:rPr>
          <w:rFonts w:hint="eastAsia"/>
          <w:lang w:val="en-US"/>
        </w:rPr>
        <w:t>R</w:t>
      </w:r>
      <w:r w:rsidRPr="0004432A">
        <w:rPr>
          <w:lang w:val="en-US"/>
        </w:rPr>
        <w:t>AN4 LS in [</w:t>
      </w:r>
      <w:r w:rsidR="00475EF9" w:rsidRPr="0004432A">
        <w:rPr>
          <w:lang w:val="en-US"/>
        </w:rPr>
        <w:t>4</w:t>
      </w:r>
      <w:r w:rsidRPr="0004432A">
        <w:rPr>
          <w:lang w:val="en-US"/>
        </w:rPr>
        <w:t xml:space="preserve">], the feasible/potential candidate subcarrier spacing (SCS) </w:t>
      </w:r>
      <w:r w:rsidR="0002038B" w:rsidRPr="0004432A">
        <w:rPr>
          <w:lang w:val="en-US"/>
        </w:rPr>
        <w:t xml:space="preserve">for NR </w:t>
      </w:r>
      <w:r w:rsidRPr="0004432A">
        <w:rPr>
          <w:lang w:val="en-US"/>
        </w:rPr>
        <w:t>are as following:</w:t>
      </w:r>
    </w:p>
    <w:p w14:paraId="7FFB419C" w14:textId="2A158D5E" w:rsidR="00063081" w:rsidRDefault="00063081" w:rsidP="004B4C03">
      <w:pPr>
        <w:pStyle w:val="a4"/>
        <w:numPr>
          <w:ilvl w:val="0"/>
          <w:numId w:val="35"/>
        </w:numPr>
        <w:spacing w:after="0" w:line="288" w:lineRule="auto"/>
        <w:ind w:leftChars="0"/>
        <w:jc w:val="both"/>
        <w:rPr>
          <w:lang w:val="en-US"/>
        </w:rPr>
      </w:pPr>
      <w:r>
        <w:rPr>
          <w:lang w:val="en-US"/>
        </w:rPr>
        <w:t xml:space="preserve">For sub 6 GHz: </w:t>
      </w:r>
      <w:r w:rsidRPr="00475EF9">
        <w:rPr>
          <w:lang w:val="en-US"/>
        </w:rPr>
        <w:t>15</w:t>
      </w:r>
      <w:r>
        <w:rPr>
          <w:lang w:val="en-US"/>
        </w:rPr>
        <w:t xml:space="preserve"> </w:t>
      </w:r>
      <w:r w:rsidRPr="00475EF9">
        <w:rPr>
          <w:lang w:val="en-US"/>
        </w:rPr>
        <w:t>kHz, 30</w:t>
      </w:r>
      <w:r>
        <w:rPr>
          <w:lang w:val="en-US"/>
        </w:rPr>
        <w:t xml:space="preserve"> </w:t>
      </w:r>
      <w:r w:rsidRPr="00475EF9">
        <w:rPr>
          <w:lang w:val="en-US"/>
        </w:rPr>
        <w:t xml:space="preserve">kHz, and </w:t>
      </w:r>
      <w:proofErr w:type="gramStart"/>
      <w:r w:rsidRPr="00475EF9">
        <w:rPr>
          <w:lang w:val="en-US"/>
        </w:rPr>
        <w:t>60kHz</w:t>
      </w:r>
      <w:proofErr w:type="gramEnd"/>
      <w:r w:rsidRPr="00475EF9">
        <w:rPr>
          <w:lang w:val="en-US"/>
        </w:rPr>
        <w:t xml:space="preserve"> are feasible SCS</w:t>
      </w:r>
      <w:r>
        <w:rPr>
          <w:lang w:val="en-US"/>
        </w:rPr>
        <w:t>.</w:t>
      </w:r>
      <w:r w:rsidRPr="00475EF9">
        <w:rPr>
          <w:lang w:val="en-US"/>
        </w:rPr>
        <w:t xml:space="preserve"> </w:t>
      </w:r>
    </w:p>
    <w:p w14:paraId="3855496C" w14:textId="75FFD68C" w:rsidR="00063081" w:rsidRPr="00475EF9" w:rsidRDefault="00063081" w:rsidP="004B4C03">
      <w:pPr>
        <w:pStyle w:val="a4"/>
        <w:numPr>
          <w:ilvl w:val="0"/>
          <w:numId w:val="35"/>
        </w:numPr>
        <w:spacing w:after="0" w:line="288" w:lineRule="auto"/>
        <w:ind w:leftChars="0"/>
        <w:jc w:val="both"/>
        <w:rPr>
          <w:lang w:val="en-US"/>
        </w:rPr>
      </w:pPr>
      <w:r>
        <w:rPr>
          <w:lang w:val="en-US"/>
        </w:rPr>
        <w:t xml:space="preserve">For above 6 GHz: </w:t>
      </w:r>
      <w:r w:rsidRPr="00475EF9">
        <w:rPr>
          <w:lang w:val="en-US"/>
        </w:rPr>
        <w:t>60</w:t>
      </w:r>
      <w:r>
        <w:rPr>
          <w:lang w:val="en-US"/>
        </w:rPr>
        <w:t xml:space="preserve"> </w:t>
      </w:r>
      <w:r w:rsidRPr="00475EF9">
        <w:rPr>
          <w:lang w:val="en-US"/>
        </w:rPr>
        <w:t>kHz, 120</w:t>
      </w:r>
      <w:r>
        <w:rPr>
          <w:lang w:val="en-US"/>
        </w:rPr>
        <w:t xml:space="preserve"> </w:t>
      </w:r>
      <w:r w:rsidRPr="00475EF9">
        <w:rPr>
          <w:lang w:val="en-US"/>
        </w:rPr>
        <w:t>kHz and 240</w:t>
      </w:r>
      <w:r>
        <w:rPr>
          <w:lang w:val="en-US"/>
        </w:rPr>
        <w:t xml:space="preserve"> </w:t>
      </w:r>
      <w:r w:rsidRPr="00475EF9">
        <w:rPr>
          <w:lang w:val="en-US"/>
        </w:rPr>
        <w:t>kHz are potential candidates for SCS (480</w:t>
      </w:r>
      <w:r>
        <w:rPr>
          <w:lang w:val="en-US"/>
        </w:rPr>
        <w:t xml:space="preserve"> </w:t>
      </w:r>
      <w:r w:rsidRPr="00475EF9">
        <w:rPr>
          <w:lang w:val="en-US"/>
        </w:rPr>
        <w:t>kHz is FFS).</w:t>
      </w:r>
    </w:p>
    <w:p w14:paraId="37CD3D53" w14:textId="41E71CF2" w:rsidR="004926C4" w:rsidRDefault="00475EF9" w:rsidP="00333C11">
      <w:pPr>
        <w:spacing w:before="120" w:line="288" w:lineRule="auto"/>
        <w:jc w:val="both"/>
        <w:rPr>
          <w:lang w:val="en-US" w:eastAsia="ko-KR"/>
        </w:rPr>
      </w:pPr>
      <w:r>
        <w:rPr>
          <w:lang w:val="en-US" w:eastAsia="ko-KR"/>
        </w:rPr>
        <w:t xml:space="preserve">Table 1 shows the potential numerology for wider bandwidth carrier based on the assumption of 99% filtering efficiency. </w:t>
      </w:r>
      <w:r w:rsidR="00DD49BA">
        <w:rPr>
          <w:lang w:val="en-US" w:eastAsia="ko-KR"/>
        </w:rPr>
        <w:t xml:space="preserve">As the candidates of maximum number of subcarriers is 3300 or 6600, SCS of 15 kHz and 30 kHz cannot support 400 MHz for maximum channel bandwidth. </w:t>
      </w:r>
    </w:p>
    <w:p w14:paraId="75136E50" w14:textId="78B0077C" w:rsidR="00DD49BA" w:rsidRDefault="00DD49BA" w:rsidP="00475EF9">
      <w:pPr>
        <w:pStyle w:val="TH"/>
      </w:pPr>
      <w:r>
        <w:t xml:space="preserve">Table </w:t>
      </w:r>
      <w:r>
        <w:fldChar w:fldCharType="begin"/>
      </w:r>
      <w:r>
        <w:instrText xml:space="preserve"> SEQ Table \* ARABIC </w:instrText>
      </w:r>
      <w:r>
        <w:fldChar w:fldCharType="separate"/>
      </w:r>
      <w:r>
        <w:t>1</w:t>
      </w:r>
      <w:r>
        <w:fldChar w:fldCharType="end"/>
      </w:r>
      <w:r>
        <w:t xml:space="preserve">: </w:t>
      </w:r>
      <w:r w:rsidR="00475EF9">
        <w:t>Potential n</w:t>
      </w:r>
      <w:r w:rsidR="003B1BC3">
        <w:t>umerology for wider bandwidth carrier</w:t>
      </w:r>
    </w:p>
    <w:tbl>
      <w:tblPr>
        <w:tblStyle w:val="a6"/>
        <w:tblW w:w="9538" w:type="dxa"/>
        <w:tblInd w:w="-5" w:type="dxa"/>
        <w:tblLook w:val="04A0" w:firstRow="1" w:lastRow="0" w:firstColumn="1" w:lastColumn="0" w:noHBand="0" w:noVBand="1"/>
      </w:tblPr>
      <w:tblGrid>
        <w:gridCol w:w="3077"/>
        <w:gridCol w:w="1131"/>
        <w:gridCol w:w="1134"/>
        <w:gridCol w:w="1701"/>
        <w:gridCol w:w="833"/>
        <w:gridCol w:w="831"/>
        <w:gridCol w:w="831"/>
      </w:tblGrid>
      <w:tr w:rsidR="00733543" w:rsidRPr="00475EF9" w14:paraId="12686723" w14:textId="77777777" w:rsidTr="004B4C03">
        <w:trPr>
          <w:trHeight w:val="20"/>
        </w:trPr>
        <w:tc>
          <w:tcPr>
            <w:tcW w:w="3077" w:type="dxa"/>
            <w:vAlign w:val="center"/>
          </w:tcPr>
          <w:p w14:paraId="3BBC364E" w14:textId="774BD976" w:rsidR="00F525F5" w:rsidRPr="00475EF9" w:rsidRDefault="00F525F5" w:rsidP="00475EF9">
            <w:pPr>
              <w:pStyle w:val="TAH0"/>
              <w:rPr>
                <w:rFonts w:eastAsiaTheme="minorEastAsia" w:cs="Arial"/>
                <w:lang w:eastAsia="ko-KR"/>
              </w:rPr>
            </w:pPr>
            <w:r>
              <w:rPr>
                <w:rFonts w:eastAsiaTheme="minorEastAsia" w:cs="Arial"/>
                <w:lang w:eastAsia="ko-KR"/>
              </w:rPr>
              <w:t>O</w:t>
            </w:r>
            <w:r>
              <w:rPr>
                <w:rFonts w:eastAsiaTheme="minorEastAsia" w:cs="Arial" w:hint="eastAsia"/>
                <w:lang w:eastAsia="ko-KR"/>
              </w:rPr>
              <w:t>per</w:t>
            </w:r>
            <w:r>
              <w:rPr>
                <w:rFonts w:eastAsiaTheme="minorEastAsia" w:cs="Arial"/>
                <w:lang w:eastAsia="ko-KR"/>
              </w:rPr>
              <w:t>ating frequency band</w:t>
            </w:r>
          </w:p>
        </w:tc>
        <w:tc>
          <w:tcPr>
            <w:tcW w:w="2265" w:type="dxa"/>
            <w:gridSpan w:val="2"/>
            <w:vAlign w:val="center"/>
          </w:tcPr>
          <w:p w14:paraId="39F630DA" w14:textId="728B8479" w:rsidR="00F525F5" w:rsidRPr="00475EF9" w:rsidRDefault="00F525F5" w:rsidP="00475EF9">
            <w:pPr>
              <w:pStyle w:val="TAH0"/>
              <w:rPr>
                <w:rFonts w:cs="Arial"/>
              </w:rPr>
            </w:pPr>
            <w:r>
              <w:rPr>
                <w:rFonts w:eastAsiaTheme="minorEastAsia" w:cs="Arial"/>
                <w:lang w:eastAsia="ko-KR"/>
              </w:rPr>
              <w:t>S</w:t>
            </w:r>
            <w:r>
              <w:rPr>
                <w:rFonts w:eastAsiaTheme="minorEastAsia" w:cs="Arial" w:hint="eastAsia"/>
                <w:lang w:eastAsia="ko-KR"/>
              </w:rPr>
              <w:t xml:space="preserve">ub </w:t>
            </w:r>
            <w:r>
              <w:rPr>
                <w:rFonts w:eastAsiaTheme="minorEastAsia" w:cs="Arial"/>
                <w:lang w:eastAsia="ko-KR"/>
              </w:rPr>
              <w:t>6 GHz</w:t>
            </w:r>
          </w:p>
        </w:tc>
        <w:tc>
          <w:tcPr>
            <w:tcW w:w="1701" w:type="dxa"/>
            <w:vAlign w:val="center"/>
          </w:tcPr>
          <w:p w14:paraId="34BCE633" w14:textId="11BB31D7" w:rsidR="00F525F5" w:rsidRPr="00475EF9" w:rsidRDefault="00F525F5" w:rsidP="00475EF9">
            <w:pPr>
              <w:pStyle w:val="TAH0"/>
              <w:rPr>
                <w:rFonts w:eastAsiaTheme="minorEastAsia" w:cs="Arial"/>
                <w:lang w:eastAsia="ko-KR"/>
              </w:rPr>
            </w:pPr>
            <w:r>
              <w:rPr>
                <w:rFonts w:eastAsiaTheme="minorEastAsia" w:cs="Arial"/>
                <w:lang w:eastAsia="ko-KR"/>
              </w:rPr>
              <w:t>sub/above 6GHz</w:t>
            </w:r>
          </w:p>
        </w:tc>
        <w:tc>
          <w:tcPr>
            <w:tcW w:w="2495" w:type="dxa"/>
            <w:gridSpan w:val="3"/>
            <w:vAlign w:val="center"/>
          </w:tcPr>
          <w:p w14:paraId="52B204A1" w14:textId="37A368D2" w:rsidR="00F525F5" w:rsidRPr="00475EF9" w:rsidRDefault="00F525F5" w:rsidP="00475EF9">
            <w:pPr>
              <w:pStyle w:val="TAH0"/>
              <w:rPr>
                <w:rFonts w:cs="Arial"/>
              </w:rPr>
            </w:pPr>
            <w:r>
              <w:rPr>
                <w:rFonts w:eastAsiaTheme="minorEastAsia" w:cs="Arial"/>
                <w:lang w:eastAsia="ko-KR"/>
              </w:rPr>
              <w:t>A</w:t>
            </w:r>
            <w:r>
              <w:rPr>
                <w:rFonts w:eastAsiaTheme="minorEastAsia" w:cs="Arial" w:hint="eastAsia"/>
                <w:lang w:eastAsia="ko-KR"/>
              </w:rPr>
              <w:t xml:space="preserve">bove </w:t>
            </w:r>
            <w:r>
              <w:rPr>
                <w:rFonts w:eastAsiaTheme="minorEastAsia" w:cs="Arial"/>
                <w:lang w:eastAsia="ko-KR"/>
              </w:rPr>
              <w:t>6 GHz</w:t>
            </w:r>
          </w:p>
        </w:tc>
      </w:tr>
      <w:tr w:rsidR="00DE7C8E" w:rsidRPr="00475EF9" w14:paraId="08163DEF" w14:textId="77777777" w:rsidTr="004B4C03">
        <w:trPr>
          <w:trHeight w:val="222"/>
        </w:trPr>
        <w:tc>
          <w:tcPr>
            <w:tcW w:w="3077" w:type="dxa"/>
            <w:vAlign w:val="center"/>
          </w:tcPr>
          <w:p w14:paraId="17F74F8B" w14:textId="613DCBFB" w:rsidR="00A558F7" w:rsidRPr="00475EF9" w:rsidRDefault="00F525F5" w:rsidP="00475EF9">
            <w:pPr>
              <w:pStyle w:val="TAH0"/>
              <w:rPr>
                <w:rFonts w:cs="Arial"/>
              </w:rPr>
            </w:pPr>
            <w:r>
              <w:rPr>
                <w:rFonts w:cs="Arial"/>
              </w:rPr>
              <w:t>Subcarrier spacing</w:t>
            </w:r>
            <w:r w:rsidR="00A558F7" w:rsidRPr="00475EF9">
              <w:rPr>
                <w:rFonts w:cs="Arial"/>
              </w:rPr>
              <w:t xml:space="preserve"> (kHz)</w:t>
            </w:r>
          </w:p>
        </w:tc>
        <w:tc>
          <w:tcPr>
            <w:tcW w:w="1131" w:type="dxa"/>
            <w:vAlign w:val="center"/>
          </w:tcPr>
          <w:p w14:paraId="05B34C0F" w14:textId="318D5110" w:rsidR="00A558F7" w:rsidRPr="00475EF9" w:rsidRDefault="00A558F7" w:rsidP="00475EF9">
            <w:pPr>
              <w:pStyle w:val="TAH0"/>
              <w:rPr>
                <w:rFonts w:cs="Arial"/>
              </w:rPr>
            </w:pPr>
            <w:r w:rsidRPr="00475EF9">
              <w:rPr>
                <w:rFonts w:cs="Arial" w:hint="eastAsia"/>
              </w:rPr>
              <w:t>15</w:t>
            </w:r>
          </w:p>
        </w:tc>
        <w:tc>
          <w:tcPr>
            <w:tcW w:w="1134" w:type="dxa"/>
            <w:vAlign w:val="center"/>
          </w:tcPr>
          <w:p w14:paraId="4A7996A4" w14:textId="156B90A2" w:rsidR="00A558F7" w:rsidRPr="00475EF9" w:rsidRDefault="00A558F7" w:rsidP="00475EF9">
            <w:pPr>
              <w:pStyle w:val="TAH0"/>
              <w:rPr>
                <w:rFonts w:cs="Arial"/>
              </w:rPr>
            </w:pPr>
            <w:r w:rsidRPr="00475EF9">
              <w:rPr>
                <w:rFonts w:cs="Arial" w:hint="eastAsia"/>
              </w:rPr>
              <w:t>30</w:t>
            </w:r>
          </w:p>
        </w:tc>
        <w:tc>
          <w:tcPr>
            <w:tcW w:w="1701" w:type="dxa"/>
            <w:vAlign w:val="center"/>
          </w:tcPr>
          <w:p w14:paraId="3594FE73" w14:textId="0A81A8CE" w:rsidR="00A558F7" w:rsidRPr="00475EF9" w:rsidRDefault="00A558F7" w:rsidP="00475EF9">
            <w:pPr>
              <w:pStyle w:val="TAH0"/>
              <w:rPr>
                <w:rFonts w:cs="Arial"/>
              </w:rPr>
            </w:pPr>
            <w:r w:rsidRPr="00475EF9">
              <w:rPr>
                <w:rFonts w:cs="Arial" w:hint="eastAsia"/>
              </w:rPr>
              <w:t>60</w:t>
            </w:r>
          </w:p>
        </w:tc>
        <w:tc>
          <w:tcPr>
            <w:tcW w:w="833" w:type="dxa"/>
            <w:vAlign w:val="center"/>
          </w:tcPr>
          <w:p w14:paraId="2FF258B2" w14:textId="1E90B3E4" w:rsidR="00A558F7" w:rsidRPr="00475EF9" w:rsidRDefault="00A558F7" w:rsidP="00475EF9">
            <w:pPr>
              <w:pStyle w:val="TAH0"/>
              <w:rPr>
                <w:rFonts w:cs="Arial"/>
              </w:rPr>
            </w:pPr>
            <w:r w:rsidRPr="00475EF9">
              <w:rPr>
                <w:rFonts w:cs="Arial" w:hint="eastAsia"/>
              </w:rPr>
              <w:t>120</w:t>
            </w:r>
          </w:p>
        </w:tc>
        <w:tc>
          <w:tcPr>
            <w:tcW w:w="831" w:type="dxa"/>
            <w:vAlign w:val="center"/>
          </w:tcPr>
          <w:p w14:paraId="7F41731C" w14:textId="3051E707" w:rsidR="00A558F7" w:rsidRPr="00475EF9" w:rsidRDefault="00A558F7" w:rsidP="00475EF9">
            <w:pPr>
              <w:pStyle w:val="TAH0"/>
              <w:rPr>
                <w:rFonts w:cs="Arial"/>
              </w:rPr>
            </w:pPr>
            <w:r w:rsidRPr="00475EF9">
              <w:rPr>
                <w:rFonts w:cs="Arial" w:hint="eastAsia"/>
              </w:rPr>
              <w:t>240</w:t>
            </w:r>
          </w:p>
        </w:tc>
        <w:tc>
          <w:tcPr>
            <w:tcW w:w="831" w:type="dxa"/>
            <w:vAlign w:val="center"/>
          </w:tcPr>
          <w:p w14:paraId="0CEA0032" w14:textId="5118D008" w:rsidR="00A558F7" w:rsidRPr="00475EF9" w:rsidRDefault="00A558F7" w:rsidP="00475EF9">
            <w:pPr>
              <w:pStyle w:val="TAH0"/>
              <w:rPr>
                <w:rFonts w:cs="Arial"/>
              </w:rPr>
            </w:pPr>
            <w:r w:rsidRPr="00475EF9">
              <w:rPr>
                <w:rFonts w:cs="Arial" w:hint="eastAsia"/>
              </w:rPr>
              <w:t>480</w:t>
            </w:r>
          </w:p>
        </w:tc>
      </w:tr>
      <w:tr w:rsidR="00DE7C8E" w:rsidRPr="00475EF9" w14:paraId="77699368" w14:textId="77777777" w:rsidTr="004B4C03">
        <w:trPr>
          <w:trHeight w:val="230"/>
        </w:trPr>
        <w:tc>
          <w:tcPr>
            <w:tcW w:w="3077" w:type="dxa"/>
            <w:vAlign w:val="center"/>
          </w:tcPr>
          <w:p w14:paraId="58529D0A" w14:textId="239A47A7" w:rsidR="00A558F7" w:rsidRPr="00475EF9" w:rsidRDefault="00DC1ECF" w:rsidP="00475EF9">
            <w:pPr>
              <w:pStyle w:val="TAH0"/>
              <w:rPr>
                <w:rFonts w:cs="Arial"/>
              </w:rPr>
            </w:pPr>
            <w:r>
              <w:rPr>
                <w:rFonts w:cs="Arial"/>
              </w:rPr>
              <w:t>M</w:t>
            </w:r>
            <w:r w:rsidR="004926C4">
              <w:rPr>
                <w:rFonts w:cs="Arial"/>
              </w:rPr>
              <w:t>ax</w:t>
            </w:r>
            <w:r w:rsidR="004926C4" w:rsidRPr="00475EF9">
              <w:rPr>
                <w:rFonts w:cs="Arial"/>
              </w:rPr>
              <w:t xml:space="preserve"> </w:t>
            </w:r>
            <w:r>
              <w:rPr>
                <w:rFonts w:cs="Arial"/>
              </w:rPr>
              <w:t>#</w:t>
            </w:r>
            <w:r w:rsidR="004926C4" w:rsidRPr="00475EF9">
              <w:rPr>
                <w:rFonts w:cs="Arial"/>
              </w:rPr>
              <w:t xml:space="preserve"> of subcarriers</w:t>
            </w:r>
          </w:p>
        </w:tc>
        <w:tc>
          <w:tcPr>
            <w:tcW w:w="1131" w:type="dxa"/>
            <w:vAlign w:val="center"/>
          </w:tcPr>
          <w:p w14:paraId="745F70B5" w14:textId="0EBAD615" w:rsidR="00A558F7" w:rsidRPr="00475EF9" w:rsidRDefault="00A961B6" w:rsidP="00475EF9">
            <w:pPr>
              <w:pStyle w:val="TAH0"/>
              <w:rPr>
                <w:rFonts w:cs="Arial"/>
                <w:b w:val="0"/>
                <w:highlight w:val="darkGray"/>
              </w:rPr>
            </w:pPr>
            <w:r w:rsidRPr="00475EF9">
              <w:rPr>
                <w:rFonts w:cs="Arial"/>
                <w:b w:val="0"/>
              </w:rPr>
              <w:t>3300</w:t>
            </w:r>
            <w:r w:rsidR="00982C2D">
              <w:rPr>
                <w:rFonts w:cs="Arial"/>
                <w:b w:val="0"/>
              </w:rPr>
              <w:t xml:space="preserve">, </w:t>
            </w:r>
            <w:r w:rsidR="00982C2D" w:rsidRPr="009C5F24">
              <w:rPr>
                <w:rFonts w:cs="Arial"/>
                <w:b w:val="0"/>
              </w:rPr>
              <w:t>6600</w:t>
            </w:r>
          </w:p>
        </w:tc>
        <w:tc>
          <w:tcPr>
            <w:tcW w:w="1134" w:type="dxa"/>
            <w:vAlign w:val="center"/>
          </w:tcPr>
          <w:p w14:paraId="0C73B50F" w14:textId="1A282ECA" w:rsidR="00A961B6" w:rsidRPr="00475EF9" w:rsidRDefault="00982C2D" w:rsidP="00475EF9">
            <w:pPr>
              <w:pStyle w:val="TAH0"/>
              <w:rPr>
                <w:rFonts w:cs="Arial"/>
                <w:b w:val="0"/>
                <w:highlight w:val="darkGray"/>
              </w:rPr>
            </w:pPr>
            <w:r>
              <w:rPr>
                <w:rFonts w:cs="Arial"/>
                <w:b w:val="0"/>
              </w:rPr>
              <w:t xml:space="preserve">3300, </w:t>
            </w:r>
            <w:r w:rsidR="00A961B6" w:rsidRPr="00475EF9">
              <w:rPr>
                <w:rFonts w:cs="Arial"/>
                <w:b w:val="0"/>
              </w:rPr>
              <w:t>6600</w:t>
            </w:r>
          </w:p>
        </w:tc>
        <w:tc>
          <w:tcPr>
            <w:tcW w:w="1701" w:type="dxa"/>
            <w:vAlign w:val="center"/>
          </w:tcPr>
          <w:p w14:paraId="4DF5CA1A" w14:textId="1297AA71" w:rsidR="00A558F7" w:rsidRPr="00475EF9" w:rsidRDefault="00982C2D" w:rsidP="00475EF9">
            <w:pPr>
              <w:pStyle w:val="TAH0"/>
              <w:rPr>
                <w:rFonts w:cs="Arial"/>
                <w:b w:val="0"/>
              </w:rPr>
            </w:pPr>
            <w:r>
              <w:rPr>
                <w:rFonts w:cs="Arial"/>
                <w:b w:val="0"/>
              </w:rPr>
              <w:t xml:space="preserve">3300, </w:t>
            </w:r>
            <w:r w:rsidR="00A558F7" w:rsidRPr="00475EF9">
              <w:rPr>
                <w:rFonts w:cs="Arial"/>
                <w:b w:val="0"/>
              </w:rPr>
              <w:t>6600</w:t>
            </w:r>
          </w:p>
        </w:tc>
        <w:tc>
          <w:tcPr>
            <w:tcW w:w="833" w:type="dxa"/>
            <w:vAlign w:val="center"/>
          </w:tcPr>
          <w:p w14:paraId="6957367D" w14:textId="1D4A5608" w:rsidR="00A558F7" w:rsidRPr="00475EF9" w:rsidRDefault="00A558F7" w:rsidP="00475EF9">
            <w:pPr>
              <w:pStyle w:val="TAH0"/>
              <w:rPr>
                <w:rFonts w:cs="Arial"/>
                <w:b w:val="0"/>
              </w:rPr>
            </w:pPr>
            <w:r w:rsidRPr="00475EF9">
              <w:rPr>
                <w:rFonts w:cs="Arial"/>
                <w:b w:val="0"/>
              </w:rPr>
              <w:t>3300</w:t>
            </w:r>
          </w:p>
        </w:tc>
        <w:tc>
          <w:tcPr>
            <w:tcW w:w="831" w:type="dxa"/>
            <w:vAlign w:val="center"/>
          </w:tcPr>
          <w:p w14:paraId="51D23A97" w14:textId="47D3297A" w:rsidR="00A558F7" w:rsidRPr="00475EF9" w:rsidRDefault="00A558F7" w:rsidP="00475EF9">
            <w:pPr>
              <w:pStyle w:val="TAH0"/>
              <w:rPr>
                <w:rFonts w:cs="Arial"/>
                <w:b w:val="0"/>
              </w:rPr>
            </w:pPr>
            <w:r w:rsidRPr="00475EF9">
              <w:rPr>
                <w:rFonts w:cs="Arial"/>
                <w:b w:val="0"/>
              </w:rPr>
              <w:t>1650</w:t>
            </w:r>
          </w:p>
        </w:tc>
        <w:tc>
          <w:tcPr>
            <w:tcW w:w="831" w:type="dxa"/>
            <w:vAlign w:val="center"/>
          </w:tcPr>
          <w:p w14:paraId="091EA340" w14:textId="0AEB0C7C" w:rsidR="00A558F7" w:rsidRPr="00475EF9" w:rsidRDefault="00A558F7" w:rsidP="00475EF9">
            <w:pPr>
              <w:pStyle w:val="TAH0"/>
              <w:rPr>
                <w:rFonts w:cs="Arial"/>
                <w:b w:val="0"/>
              </w:rPr>
            </w:pPr>
            <w:r w:rsidRPr="00475EF9">
              <w:rPr>
                <w:rFonts w:cs="Arial"/>
                <w:b w:val="0"/>
              </w:rPr>
              <w:t>825</w:t>
            </w:r>
          </w:p>
        </w:tc>
      </w:tr>
      <w:tr w:rsidR="00DE7C8E" w:rsidRPr="00475EF9" w14:paraId="1851A300" w14:textId="77777777" w:rsidTr="004B4C03">
        <w:trPr>
          <w:trHeight w:val="222"/>
        </w:trPr>
        <w:tc>
          <w:tcPr>
            <w:tcW w:w="3077" w:type="dxa"/>
            <w:vAlign w:val="center"/>
          </w:tcPr>
          <w:p w14:paraId="2848EFB9" w14:textId="1DD9472A" w:rsidR="004926C4" w:rsidRPr="00475EF9" w:rsidRDefault="00DC1ECF" w:rsidP="00475EF9">
            <w:pPr>
              <w:pStyle w:val="TAH0"/>
              <w:rPr>
                <w:rFonts w:cs="Arial"/>
              </w:rPr>
            </w:pPr>
            <w:r>
              <w:rPr>
                <w:rFonts w:cs="Arial"/>
              </w:rPr>
              <w:t>M</w:t>
            </w:r>
            <w:r w:rsidR="004926C4" w:rsidRPr="00475EF9">
              <w:rPr>
                <w:rFonts w:cs="Arial"/>
              </w:rPr>
              <w:t>ax</w:t>
            </w:r>
            <w:r w:rsidR="004926C4">
              <w:rPr>
                <w:rFonts w:cs="Arial"/>
              </w:rPr>
              <w:t xml:space="preserve"> </w:t>
            </w:r>
            <w:r>
              <w:rPr>
                <w:rFonts w:cs="Arial"/>
              </w:rPr>
              <w:t>#</w:t>
            </w:r>
            <w:r w:rsidR="004926C4" w:rsidRPr="00475EF9">
              <w:rPr>
                <w:rFonts w:cs="Arial"/>
              </w:rPr>
              <w:t xml:space="preserve"> of PRBs</w:t>
            </w:r>
          </w:p>
        </w:tc>
        <w:tc>
          <w:tcPr>
            <w:tcW w:w="1131" w:type="dxa"/>
            <w:vAlign w:val="center"/>
          </w:tcPr>
          <w:p w14:paraId="11215843" w14:textId="262074D1" w:rsidR="004926C4" w:rsidRPr="00475EF9" w:rsidRDefault="00982C2D" w:rsidP="00475EF9">
            <w:pPr>
              <w:pStyle w:val="TAH0"/>
              <w:rPr>
                <w:rFonts w:cs="Arial"/>
                <w:b w:val="0"/>
              </w:rPr>
            </w:pPr>
            <w:r>
              <w:rPr>
                <w:rFonts w:cs="Arial"/>
                <w:b w:val="0"/>
              </w:rPr>
              <w:t xml:space="preserve">275, </w:t>
            </w:r>
            <w:r w:rsidR="00A961B6" w:rsidRPr="00475EF9">
              <w:rPr>
                <w:rFonts w:cs="Arial"/>
                <w:b w:val="0"/>
              </w:rPr>
              <w:t>550</w:t>
            </w:r>
          </w:p>
        </w:tc>
        <w:tc>
          <w:tcPr>
            <w:tcW w:w="1134" w:type="dxa"/>
            <w:vAlign w:val="center"/>
          </w:tcPr>
          <w:p w14:paraId="4743C3D4" w14:textId="779F6E88" w:rsidR="004926C4" w:rsidRPr="00475EF9" w:rsidRDefault="00982C2D" w:rsidP="00475EF9">
            <w:pPr>
              <w:pStyle w:val="TAH0"/>
              <w:rPr>
                <w:rFonts w:cs="Arial"/>
                <w:b w:val="0"/>
              </w:rPr>
            </w:pPr>
            <w:r>
              <w:rPr>
                <w:rFonts w:cs="Arial"/>
                <w:b w:val="0"/>
              </w:rPr>
              <w:t xml:space="preserve">275, </w:t>
            </w:r>
            <w:r w:rsidRPr="009C5F24">
              <w:rPr>
                <w:rFonts w:cs="Arial"/>
                <w:b w:val="0"/>
              </w:rPr>
              <w:t>550</w:t>
            </w:r>
          </w:p>
        </w:tc>
        <w:tc>
          <w:tcPr>
            <w:tcW w:w="1701" w:type="dxa"/>
            <w:vAlign w:val="center"/>
          </w:tcPr>
          <w:p w14:paraId="0DBC6C6B" w14:textId="42EEDC0F" w:rsidR="004926C4" w:rsidRPr="00475EF9" w:rsidRDefault="00982C2D" w:rsidP="00475EF9">
            <w:pPr>
              <w:pStyle w:val="TAH0"/>
              <w:rPr>
                <w:rFonts w:cs="Arial"/>
                <w:b w:val="0"/>
              </w:rPr>
            </w:pPr>
            <w:r>
              <w:rPr>
                <w:rFonts w:cs="Arial"/>
                <w:b w:val="0"/>
              </w:rPr>
              <w:t xml:space="preserve">275, </w:t>
            </w:r>
            <w:r w:rsidR="004926C4" w:rsidRPr="00475EF9">
              <w:rPr>
                <w:rFonts w:cs="Arial"/>
                <w:b w:val="0"/>
              </w:rPr>
              <w:t>550</w:t>
            </w:r>
          </w:p>
        </w:tc>
        <w:tc>
          <w:tcPr>
            <w:tcW w:w="833" w:type="dxa"/>
            <w:vAlign w:val="center"/>
          </w:tcPr>
          <w:p w14:paraId="1097F487" w14:textId="2BF1F802" w:rsidR="004926C4" w:rsidRPr="00475EF9" w:rsidRDefault="004926C4" w:rsidP="00475EF9">
            <w:pPr>
              <w:pStyle w:val="TAH0"/>
              <w:rPr>
                <w:rFonts w:cs="Arial"/>
                <w:b w:val="0"/>
              </w:rPr>
            </w:pPr>
            <w:r w:rsidRPr="00475EF9">
              <w:rPr>
                <w:rFonts w:cs="Arial"/>
                <w:b w:val="0"/>
              </w:rPr>
              <w:t>275</w:t>
            </w:r>
          </w:p>
        </w:tc>
        <w:tc>
          <w:tcPr>
            <w:tcW w:w="831" w:type="dxa"/>
            <w:vAlign w:val="center"/>
          </w:tcPr>
          <w:p w14:paraId="308CA69A" w14:textId="7CC42B9B" w:rsidR="004926C4" w:rsidRPr="00475EF9" w:rsidRDefault="004926C4" w:rsidP="00475EF9">
            <w:pPr>
              <w:pStyle w:val="TAH0"/>
              <w:rPr>
                <w:rFonts w:cs="Arial"/>
                <w:b w:val="0"/>
              </w:rPr>
            </w:pPr>
            <w:r w:rsidRPr="00475EF9">
              <w:rPr>
                <w:rFonts w:cs="Arial"/>
                <w:b w:val="0"/>
              </w:rPr>
              <w:t>137.5</w:t>
            </w:r>
          </w:p>
        </w:tc>
        <w:tc>
          <w:tcPr>
            <w:tcW w:w="831" w:type="dxa"/>
            <w:vAlign w:val="center"/>
          </w:tcPr>
          <w:p w14:paraId="1EE02755" w14:textId="0CC9D312" w:rsidR="004926C4" w:rsidRPr="00475EF9" w:rsidRDefault="004926C4" w:rsidP="00475EF9">
            <w:pPr>
              <w:pStyle w:val="TAH0"/>
              <w:rPr>
                <w:rFonts w:cs="Arial"/>
                <w:b w:val="0"/>
              </w:rPr>
            </w:pPr>
            <w:r w:rsidRPr="00475EF9">
              <w:rPr>
                <w:rFonts w:cs="Arial"/>
                <w:b w:val="0"/>
              </w:rPr>
              <w:t>68.75</w:t>
            </w:r>
          </w:p>
        </w:tc>
      </w:tr>
      <w:tr w:rsidR="00DE7C8E" w:rsidRPr="00475EF9" w14:paraId="5C2B318D" w14:textId="77777777" w:rsidTr="004B4C03">
        <w:trPr>
          <w:trHeight w:val="222"/>
        </w:trPr>
        <w:tc>
          <w:tcPr>
            <w:tcW w:w="3077" w:type="dxa"/>
            <w:vAlign w:val="center"/>
          </w:tcPr>
          <w:p w14:paraId="0BE07D19" w14:textId="149A9CE5" w:rsidR="00A961B6" w:rsidRPr="00475EF9" w:rsidRDefault="00A961B6" w:rsidP="00475EF9">
            <w:pPr>
              <w:pStyle w:val="TAH0"/>
              <w:rPr>
                <w:rFonts w:eastAsiaTheme="minorEastAsia" w:cs="Arial"/>
                <w:lang w:eastAsia="ko-KR"/>
              </w:rPr>
            </w:pPr>
            <w:r>
              <w:rPr>
                <w:rFonts w:eastAsiaTheme="minorEastAsia" w:cs="Arial" w:hint="eastAsia"/>
                <w:lang w:eastAsia="ko-KR"/>
              </w:rPr>
              <w:t>Max channel BW (MHz)</w:t>
            </w:r>
          </w:p>
        </w:tc>
        <w:tc>
          <w:tcPr>
            <w:tcW w:w="1131" w:type="dxa"/>
            <w:vAlign w:val="center"/>
          </w:tcPr>
          <w:p w14:paraId="3E2BDF9B" w14:textId="423AE2FC" w:rsidR="00A961B6" w:rsidRPr="00475EF9" w:rsidRDefault="00A961B6" w:rsidP="00475EF9">
            <w:pPr>
              <w:pStyle w:val="TAH0"/>
              <w:rPr>
                <w:rFonts w:eastAsiaTheme="minorEastAsia" w:cs="Arial"/>
                <w:b w:val="0"/>
                <w:lang w:eastAsia="ko-KR"/>
              </w:rPr>
            </w:pPr>
            <w:r>
              <w:rPr>
                <w:rFonts w:eastAsiaTheme="minorEastAsia" w:cs="Arial" w:hint="eastAsia"/>
                <w:b w:val="0"/>
                <w:lang w:eastAsia="ko-KR"/>
              </w:rPr>
              <w:t>50, 100</w:t>
            </w:r>
          </w:p>
        </w:tc>
        <w:tc>
          <w:tcPr>
            <w:tcW w:w="1134" w:type="dxa"/>
            <w:vAlign w:val="center"/>
          </w:tcPr>
          <w:p w14:paraId="342E07A3" w14:textId="6822A82C" w:rsidR="00A961B6" w:rsidRPr="00475EF9" w:rsidRDefault="00A961B6" w:rsidP="00475EF9">
            <w:pPr>
              <w:pStyle w:val="TAH0"/>
              <w:rPr>
                <w:rFonts w:eastAsiaTheme="minorEastAsia" w:cs="Arial"/>
                <w:b w:val="0"/>
                <w:lang w:eastAsia="ko-KR"/>
              </w:rPr>
            </w:pPr>
            <w:r>
              <w:rPr>
                <w:rFonts w:eastAsiaTheme="minorEastAsia" w:cs="Arial" w:hint="eastAsia"/>
                <w:b w:val="0"/>
                <w:lang w:eastAsia="ko-KR"/>
              </w:rPr>
              <w:t>100, 200</w:t>
            </w:r>
          </w:p>
        </w:tc>
        <w:tc>
          <w:tcPr>
            <w:tcW w:w="1701" w:type="dxa"/>
            <w:vAlign w:val="center"/>
          </w:tcPr>
          <w:p w14:paraId="64E7D93F" w14:textId="5F726739" w:rsidR="00A961B6" w:rsidRPr="00475EF9" w:rsidRDefault="00982C2D" w:rsidP="00475EF9">
            <w:pPr>
              <w:pStyle w:val="TAH0"/>
              <w:rPr>
                <w:rFonts w:eastAsiaTheme="minorEastAsia" w:cs="Arial"/>
                <w:b w:val="0"/>
                <w:lang w:eastAsia="ko-KR"/>
              </w:rPr>
            </w:pPr>
            <w:r>
              <w:rPr>
                <w:rFonts w:eastAsiaTheme="minorEastAsia" w:cs="Arial"/>
                <w:b w:val="0"/>
                <w:lang w:eastAsia="ko-KR"/>
              </w:rPr>
              <w:t xml:space="preserve">200, </w:t>
            </w:r>
            <w:r w:rsidR="00A961B6">
              <w:rPr>
                <w:rFonts w:eastAsiaTheme="minorEastAsia" w:cs="Arial" w:hint="eastAsia"/>
                <w:b w:val="0"/>
                <w:lang w:eastAsia="ko-KR"/>
              </w:rPr>
              <w:t>400</w:t>
            </w:r>
          </w:p>
        </w:tc>
        <w:tc>
          <w:tcPr>
            <w:tcW w:w="833" w:type="dxa"/>
            <w:vAlign w:val="center"/>
          </w:tcPr>
          <w:p w14:paraId="2D862858" w14:textId="5232DA4F" w:rsidR="00A961B6" w:rsidRPr="00475EF9" w:rsidRDefault="00A961B6" w:rsidP="00475EF9">
            <w:pPr>
              <w:pStyle w:val="TAH0"/>
              <w:rPr>
                <w:rFonts w:eastAsiaTheme="minorEastAsia" w:cs="Arial"/>
                <w:b w:val="0"/>
                <w:lang w:eastAsia="ko-KR"/>
              </w:rPr>
            </w:pPr>
            <w:r>
              <w:rPr>
                <w:rFonts w:eastAsiaTheme="minorEastAsia" w:cs="Arial" w:hint="eastAsia"/>
                <w:b w:val="0"/>
                <w:lang w:eastAsia="ko-KR"/>
              </w:rPr>
              <w:t>400</w:t>
            </w:r>
          </w:p>
        </w:tc>
        <w:tc>
          <w:tcPr>
            <w:tcW w:w="831" w:type="dxa"/>
            <w:vAlign w:val="center"/>
          </w:tcPr>
          <w:p w14:paraId="0EC6855F" w14:textId="03EDFD11" w:rsidR="00A961B6" w:rsidRPr="00475EF9" w:rsidRDefault="00A961B6" w:rsidP="00475EF9">
            <w:pPr>
              <w:pStyle w:val="TAH0"/>
              <w:rPr>
                <w:rFonts w:eastAsiaTheme="minorEastAsia" w:cs="Arial"/>
                <w:b w:val="0"/>
                <w:lang w:eastAsia="ko-KR"/>
              </w:rPr>
            </w:pPr>
            <w:r>
              <w:rPr>
                <w:rFonts w:eastAsiaTheme="minorEastAsia" w:cs="Arial" w:hint="eastAsia"/>
                <w:b w:val="0"/>
                <w:lang w:eastAsia="ko-KR"/>
              </w:rPr>
              <w:t>400</w:t>
            </w:r>
          </w:p>
        </w:tc>
        <w:tc>
          <w:tcPr>
            <w:tcW w:w="831" w:type="dxa"/>
            <w:vAlign w:val="center"/>
          </w:tcPr>
          <w:p w14:paraId="70F75956" w14:textId="5C1239A9" w:rsidR="00A961B6" w:rsidRPr="00475EF9" w:rsidRDefault="00A961B6" w:rsidP="00475EF9">
            <w:pPr>
              <w:pStyle w:val="TAH0"/>
              <w:rPr>
                <w:rFonts w:eastAsiaTheme="minorEastAsia" w:cs="Arial"/>
                <w:b w:val="0"/>
                <w:lang w:eastAsia="ko-KR"/>
              </w:rPr>
            </w:pPr>
            <w:r>
              <w:rPr>
                <w:rFonts w:eastAsiaTheme="minorEastAsia" w:cs="Arial" w:hint="eastAsia"/>
                <w:b w:val="0"/>
                <w:lang w:eastAsia="ko-KR"/>
              </w:rPr>
              <w:t>400</w:t>
            </w:r>
          </w:p>
        </w:tc>
      </w:tr>
      <w:tr w:rsidR="00DE7C8E" w:rsidRPr="00475EF9" w14:paraId="0B1532D3" w14:textId="77777777" w:rsidTr="004B4C03">
        <w:trPr>
          <w:trHeight w:val="222"/>
        </w:trPr>
        <w:tc>
          <w:tcPr>
            <w:tcW w:w="3077" w:type="dxa"/>
            <w:vAlign w:val="center"/>
          </w:tcPr>
          <w:p w14:paraId="5EE7A14B" w14:textId="3ED8DE58" w:rsidR="00DB05AF" w:rsidRDefault="00585232" w:rsidP="00585232">
            <w:pPr>
              <w:pStyle w:val="TAH0"/>
              <w:rPr>
                <w:rFonts w:eastAsiaTheme="minorEastAsia" w:cs="Arial"/>
                <w:lang w:eastAsia="ko-KR"/>
              </w:rPr>
            </w:pPr>
            <w:r>
              <w:rPr>
                <w:rFonts w:eastAsiaTheme="minorEastAsia" w:cs="Arial"/>
                <w:lang w:eastAsia="ko-KR"/>
              </w:rPr>
              <w:t>Max t</w:t>
            </w:r>
            <w:r w:rsidR="00DB05AF">
              <w:rPr>
                <w:rFonts w:eastAsiaTheme="minorEastAsia" w:cs="Arial" w:hint="eastAsia"/>
                <w:lang w:eastAsia="ko-KR"/>
              </w:rPr>
              <w:t xml:space="preserve">otal </w:t>
            </w:r>
            <w:r w:rsidR="00DB05AF">
              <w:rPr>
                <w:rFonts w:eastAsiaTheme="minorEastAsia" w:cs="Arial"/>
                <w:lang w:eastAsia="ko-KR"/>
              </w:rPr>
              <w:t>aggregated BW (GHz)</w:t>
            </w:r>
          </w:p>
        </w:tc>
        <w:tc>
          <w:tcPr>
            <w:tcW w:w="1131" w:type="dxa"/>
            <w:vAlign w:val="center"/>
          </w:tcPr>
          <w:p w14:paraId="7723A65D" w14:textId="30B36F85" w:rsidR="00DB05AF" w:rsidRDefault="00DB05AF" w:rsidP="00475EF9">
            <w:pPr>
              <w:pStyle w:val="TAH0"/>
              <w:rPr>
                <w:rFonts w:eastAsiaTheme="minorEastAsia" w:cs="Arial"/>
                <w:b w:val="0"/>
                <w:lang w:eastAsia="ko-KR"/>
              </w:rPr>
            </w:pPr>
            <w:r>
              <w:rPr>
                <w:rFonts w:eastAsiaTheme="minorEastAsia" w:cs="Arial"/>
                <w:b w:val="0"/>
                <w:lang w:eastAsia="ko-KR"/>
              </w:rPr>
              <w:t>0.</w:t>
            </w:r>
            <w:r>
              <w:rPr>
                <w:rFonts w:eastAsiaTheme="minorEastAsia" w:cs="Arial" w:hint="eastAsia"/>
                <w:b w:val="0"/>
                <w:lang w:eastAsia="ko-KR"/>
              </w:rPr>
              <w:t>8, 1.6</w:t>
            </w:r>
          </w:p>
        </w:tc>
        <w:tc>
          <w:tcPr>
            <w:tcW w:w="1134" w:type="dxa"/>
            <w:vAlign w:val="center"/>
          </w:tcPr>
          <w:p w14:paraId="2DB2421C" w14:textId="056D5726" w:rsidR="00DB05AF" w:rsidRDefault="00DB05AF" w:rsidP="00A961B6">
            <w:pPr>
              <w:pStyle w:val="TAH0"/>
              <w:rPr>
                <w:rFonts w:eastAsiaTheme="minorEastAsia" w:cs="Arial"/>
                <w:b w:val="0"/>
                <w:lang w:eastAsia="ko-KR"/>
              </w:rPr>
            </w:pPr>
            <w:r>
              <w:rPr>
                <w:rFonts w:eastAsiaTheme="minorEastAsia" w:cs="Arial"/>
                <w:b w:val="0"/>
                <w:lang w:eastAsia="ko-KR"/>
              </w:rPr>
              <w:t xml:space="preserve">1.6, </w:t>
            </w:r>
            <w:r>
              <w:rPr>
                <w:rFonts w:eastAsiaTheme="minorEastAsia" w:cs="Arial" w:hint="eastAsia"/>
                <w:b w:val="0"/>
                <w:lang w:eastAsia="ko-KR"/>
              </w:rPr>
              <w:t>3.2</w:t>
            </w:r>
          </w:p>
        </w:tc>
        <w:tc>
          <w:tcPr>
            <w:tcW w:w="1701" w:type="dxa"/>
            <w:vAlign w:val="center"/>
          </w:tcPr>
          <w:p w14:paraId="2A9EFD9F" w14:textId="4EB4F51E" w:rsidR="00DB05AF" w:rsidRDefault="00DB05AF" w:rsidP="00A961B6">
            <w:pPr>
              <w:pStyle w:val="TAH0"/>
              <w:rPr>
                <w:rFonts w:eastAsiaTheme="minorEastAsia" w:cs="Arial"/>
                <w:b w:val="0"/>
                <w:lang w:eastAsia="ko-KR"/>
              </w:rPr>
            </w:pPr>
            <w:r>
              <w:rPr>
                <w:rFonts w:eastAsiaTheme="minorEastAsia" w:cs="Arial" w:hint="eastAsia"/>
                <w:b w:val="0"/>
                <w:lang w:eastAsia="ko-KR"/>
              </w:rPr>
              <w:t>3.2, 6.4</w:t>
            </w:r>
          </w:p>
        </w:tc>
        <w:tc>
          <w:tcPr>
            <w:tcW w:w="833" w:type="dxa"/>
            <w:vAlign w:val="center"/>
          </w:tcPr>
          <w:p w14:paraId="3074813F" w14:textId="0F2C4F1A" w:rsidR="00DB05AF" w:rsidRDefault="00DB05AF" w:rsidP="00A961B6">
            <w:pPr>
              <w:pStyle w:val="TAH0"/>
              <w:rPr>
                <w:rFonts w:eastAsiaTheme="minorEastAsia" w:cs="Arial"/>
                <w:b w:val="0"/>
                <w:lang w:eastAsia="ko-KR"/>
              </w:rPr>
            </w:pPr>
            <w:r>
              <w:rPr>
                <w:rFonts w:eastAsiaTheme="minorEastAsia" w:cs="Arial" w:hint="eastAsia"/>
                <w:b w:val="0"/>
                <w:lang w:eastAsia="ko-KR"/>
              </w:rPr>
              <w:t>6.4</w:t>
            </w:r>
          </w:p>
        </w:tc>
        <w:tc>
          <w:tcPr>
            <w:tcW w:w="831" w:type="dxa"/>
            <w:vAlign w:val="center"/>
          </w:tcPr>
          <w:p w14:paraId="008F287B" w14:textId="31E34BB3" w:rsidR="00DB05AF" w:rsidRDefault="00DB05AF" w:rsidP="00A961B6">
            <w:pPr>
              <w:pStyle w:val="TAH0"/>
              <w:rPr>
                <w:rFonts w:eastAsiaTheme="minorEastAsia" w:cs="Arial"/>
                <w:b w:val="0"/>
                <w:lang w:eastAsia="ko-KR"/>
              </w:rPr>
            </w:pPr>
            <w:r>
              <w:rPr>
                <w:rFonts w:eastAsiaTheme="minorEastAsia" w:cs="Arial" w:hint="eastAsia"/>
                <w:b w:val="0"/>
                <w:lang w:eastAsia="ko-KR"/>
              </w:rPr>
              <w:t>6.4</w:t>
            </w:r>
          </w:p>
        </w:tc>
        <w:tc>
          <w:tcPr>
            <w:tcW w:w="831" w:type="dxa"/>
            <w:vAlign w:val="center"/>
          </w:tcPr>
          <w:p w14:paraId="0F109AF4" w14:textId="77DBCECB" w:rsidR="00DB05AF" w:rsidRDefault="00DB05AF" w:rsidP="00A961B6">
            <w:pPr>
              <w:pStyle w:val="TAH0"/>
              <w:rPr>
                <w:rFonts w:eastAsiaTheme="minorEastAsia" w:cs="Arial"/>
                <w:b w:val="0"/>
                <w:lang w:eastAsia="ko-KR"/>
              </w:rPr>
            </w:pPr>
            <w:r>
              <w:rPr>
                <w:rFonts w:eastAsiaTheme="minorEastAsia" w:cs="Arial" w:hint="eastAsia"/>
                <w:b w:val="0"/>
                <w:lang w:eastAsia="ko-KR"/>
              </w:rPr>
              <w:t>6.4</w:t>
            </w:r>
          </w:p>
        </w:tc>
      </w:tr>
    </w:tbl>
    <w:p w14:paraId="7F67885C" w14:textId="64BFFDBF" w:rsidR="008717F4" w:rsidRPr="004B4C03" w:rsidRDefault="008717F4" w:rsidP="00333C11">
      <w:pPr>
        <w:spacing w:before="120" w:line="288" w:lineRule="auto"/>
        <w:jc w:val="both"/>
        <w:rPr>
          <w:lang w:val="en-US" w:eastAsia="ko-KR"/>
        </w:rPr>
      </w:pPr>
      <w:r w:rsidRPr="004B4C03">
        <w:rPr>
          <w:lang w:val="en-US" w:eastAsia="ko-KR"/>
        </w:rPr>
        <w:t xml:space="preserve">According to Table 1, to support 100MHz </w:t>
      </w:r>
      <w:r w:rsidR="00733543">
        <w:rPr>
          <w:lang w:val="en-US" w:eastAsia="ko-KR"/>
        </w:rPr>
        <w:t>channel bandwidth</w:t>
      </w:r>
      <w:r w:rsidRPr="004B4C03">
        <w:rPr>
          <w:lang w:val="en-US" w:eastAsia="ko-KR"/>
        </w:rPr>
        <w:t xml:space="preserve"> on 15 kHz SCS, 6600 subcarriers and 8192 FFT size is needed, even though 8192 FFT size is FFS.</w:t>
      </w:r>
    </w:p>
    <w:p w14:paraId="1FF1C2A2" w14:textId="347683A5" w:rsidR="008717F4" w:rsidRPr="0004432A" w:rsidRDefault="008717F4" w:rsidP="008717F4">
      <w:pPr>
        <w:spacing w:line="288" w:lineRule="auto"/>
        <w:jc w:val="both"/>
        <w:rPr>
          <w:lang w:val="en-US" w:eastAsia="ko-KR"/>
        </w:rPr>
      </w:pPr>
      <w:r w:rsidRPr="004B4C03">
        <w:rPr>
          <w:b/>
          <w:i/>
          <w:lang w:val="en-US" w:eastAsia="ko-KR"/>
        </w:rPr>
        <w:t xml:space="preserve">Observation </w:t>
      </w:r>
      <w:r w:rsidR="00807372" w:rsidRPr="004B4C03">
        <w:rPr>
          <w:b/>
          <w:i/>
          <w:lang w:val="en-US" w:eastAsia="ko-KR"/>
        </w:rPr>
        <w:t>2</w:t>
      </w:r>
      <w:r w:rsidRPr="004B4C03">
        <w:rPr>
          <w:b/>
          <w:i/>
          <w:lang w:val="en-US" w:eastAsia="ko-KR"/>
        </w:rPr>
        <w:t xml:space="preserve">: To support 100MHz </w:t>
      </w:r>
      <w:r w:rsidR="00733543">
        <w:rPr>
          <w:b/>
          <w:i/>
          <w:lang w:val="en-US" w:eastAsia="ko-KR"/>
        </w:rPr>
        <w:t xml:space="preserve">channel </w:t>
      </w:r>
      <w:r w:rsidRPr="004B4C03">
        <w:rPr>
          <w:b/>
          <w:i/>
          <w:lang w:val="en-US" w:eastAsia="ko-KR"/>
        </w:rPr>
        <w:t>bandwidth with 15 kHz SCS, 8192 FFT size is necessary.</w:t>
      </w:r>
    </w:p>
    <w:p w14:paraId="52555A7E" w14:textId="77777777" w:rsidR="008717F4" w:rsidRPr="004B4C03" w:rsidRDefault="008717F4" w:rsidP="00333C11">
      <w:pPr>
        <w:spacing w:after="120" w:line="288" w:lineRule="auto"/>
        <w:jc w:val="both"/>
        <w:rPr>
          <w:lang w:val="en-US" w:eastAsia="ko-KR"/>
        </w:rPr>
      </w:pPr>
      <w:r w:rsidRPr="004B4C03">
        <w:rPr>
          <w:lang w:val="en-US" w:eastAsia="ko-KR"/>
        </w:rPr>
        <w:t xml:space="preserve">For mixed numerology, the possible combinations can be {15/30, 30/60, 15/60} kHz for sub-6GHz and {60/120, 120/240, 60/240} kHz for above-6GHz, respectively when two numerologies are assumed to be multiplexed (of course more than two can be considered as well). Typically, FDM of numerologies is supported via different FFT blocks. In such cases, the limit on the number of subcarriers applies to the lowest sub-carrier spacing. For example, when 15kHz and 30kHz SCS </w:t>
      </w:r>
      <w:r w:rsidRPr="004B4C03">
        <w:rPr>
          <w:lang w:val="en-US" w:eastAsia="ko-KR"/>
        </w:rPr>
        <w:lastRenderedPageBreak/>
        <w:t xml:space="preserve">are supported in a CBW of 100MHz, the maximum number of subcarriers that can be considered is 6600 which is decided based on the lower numerology 15kHz. </w:t>
      </w:r>
    </w:p>
    <w:p w14:paraId="6BF680D0" w14:textId="5733371F" w:rsidR="008717F4" w:rsidRPr="004B4C03" w:rsidRDefault="008717F4" w:rsidP="00333C11">
      <w:pPr>
        <w:spacing w:line="288" w:lineRule="auto"/>
        <w:jc w:val="both"/>
        <w:rPr>
          <w:lang w:val="en-US" w:eastAsia="ko-KR"/>
        </w:rPr>
      </w:pPr>
      <w:r w:rsidRPr="004B4C03">
        <w:rPr>
          <w:lang w:val="en-US" w:eastAsia="ko-KR"/>
        </w:rPr>
        <w:t>As another example, for 100MHz CBW, when BW is shared between numerologies, 3300 subcarriers with 15 kHz SCS and 1650 subcarriers with 30 kHz can be possibly mixed half-and-half in a BW sharing manner. Furthermore, considering other mixing ratios, not all combinations seem possible from the implementation perspective.</w:t>
      </w:r>
    </w:p>
    <w:p w14:paraId="6AB88ED7" w14:textId="62D68723" w:rsidR="008717F4" w:rsidRPr="004B4C03" w:rsidRDefault="008717F4" w:rsidP="008717F4">
      <w:pPr>
        <w:spacing w:before="240" w:line="288" w:lineRule="auto"/>
        <w:jc w:val="both"/>
        <w:rPr>
          <w:b/>
          <w:i/>
          <w:lang w:val="en-US" w:eastAsia="ko-KR"/>
        </w:rPr>
      </w:pPr>
      <w:r w:rsidRPr="004B4C03">
        <w:rPr>
          <w:b/>
          <w:i/>
          <w:lang w:val="en-US" w:eastAsia="ko-KR"/>
        </w:rPr>
        <w:t xml:space="preserve">Observation </w:t>
      </w:r>
      <w:r w:rsidR="00807372" w:rsidRPr="004B4C03">
        <w:rPr>
          <w:b/>
          <w:i/>
          <w:lang w:val="en-US" w:eastAsia="ko-KR"/>
        </w:rPr>
        <w:t>3</w:t>
      </w:r>
      <w:r w:rsidRPr="004B4C03">
        <w:rPr>
          <w:b/>
          <w:i/>
          <w:lang w:val="en-US" w:eastAsia="ko-KR"/>
        </w:rPr>
        <w:t>: According to mixing ratio and CBW for mixed numerology, not all combination of SCS is possible from an implementation perspective.</w:t>
      </w:r>
    </w:p>
    <w:p w14:paraId="5BE77E61" w14:textId="77777777" w:rsidR="00DC1ECF" w:rsidRDefault="00DC1ECF" w:rsidP="00475EF9">
      <w:pPr>
        <w:spacing w:after="0" w:line="288" w:lineRule="auto"/>
        <w:jc w:val="both"/>
        <w:rPr>
          <w:color w:val="000000" w:themeColor="text1"/>
          <w:lang w:eastAsia="ko-KR"/>
        </w:rPr>
      </w:pPr>
      <w:r w:rsidRPr="009C5F24">
        <w:rPr>
          <w:color w:val="000000" w:themeColor="text1"/>
          <w:lang w:eastAsia="ko-KR"/>
        </w:rPr>
        <w:t xml:space="preserve">For a given total bandwidth, the necessary </w:t>
      </w:r>
      <w:proofErr w:type="spellStart"/>
      <w:r w:rsidRPr="009C5F24">
        <w:rPr>
          <w:color w:val="000000" w:themeColor="text1"/>
          <w:lang w:eastAsia="ko-KR"/>
        </w:rPr>
        <w:t>signaling</w:t>
      </w:r>
      <w:proofErr w:type="spellEnd"/>
      <w:r w:rsidRPr="009C5F24">
        <w:rPr>
          <w:color w:val="000000" w:themeColor="text1"/>
          <w:lang w:eastAsia="ko-KR"/>
        </w:rPr>
        <w:t xml:space="preserve"> for </w:t>
      </w:r>
      <w:r>
        <w:rPr>
          <w:color w:val="000000" w:themeColor="text1"/>
          <w:lang w:eastAsia="ko-KR"/>
        </w:rPr>
        <w:t xml:space="preserve">resource allocation </w:t>
      </w:r>
      <w:r w:rsidRPr="009C5F24">
        <w:rPr>
          <w:color w:val="000000" w:themeColor="text1"/>
          <w:lang w:eastAsia="ko-KR"/>
        </w:rPr>
        <w:t>can be different depending on whether it is CA/DC or single wider bandwidth carrier.</w:t>
      </w:r>
    </w:p>
    <w:p w14:paraId="5AE83B49" w14:textId="77777777" w:rsidR="00DC1ECF" w:rsidRDefault="00DC1ECF" w:rsidP="00475EF9">
      <w:pPr>
        <w:pStyle w:val="a4"/>
        <w:numPr>
          <w:ilvl w:val="0"/>
          <w:numId w:val="16"/>
        </w:numPr>
        <w:spacing w:before="60" w:line="288" w:lineRule="auto"/>
        <w:ind w:leftChars="0"/>
        <w:jc w:val="both"/>
        <w:rPr>
          <w:color w:val="000000" w:themeColor="text1"/>
          <w:lang w:eastAsia="ko-KR"/>
        </w:rPr>
      </w:pPr>
      <w:r>
        <w:rPr>
          <w:color w:val="000000" w:themeColor="text1"/>
          <w:lang w:eastAsia="ko-KR"/>
        </w:rPr>
        <w:t xml:space="preserve">CA/DC: Assuming that the scheduling is per cell (carrier) basis like LTE CA/DC, the resource allocation </w:t>
      </w:r>
      <w:proofErr w:type="spellStart"/>
      <w:r>
        <w:rPr>
          <w:color w:val="000000" w:themeColor="text1"/>
          <w:lang w:eastAsia="ko-KR"/>
        </w:rPr>
        <w:t>signaling</w:t>
      </w:r>
      <w:proofErr w:type="spellEnd"/>
      <w:r>
        <w:rPr>
          <w:color w:val="000000" w:themeColor="text1"/>
          <w:lang w:eastAsia="ko-KR"/>
        </w:rPr>
        <w:t xml:space="preserve"> in both DL and UL is in proportion to the number of aggregated CCs. In case of UL HARQ feedback, a proper multiplexing operation would be needed </w:t>
      </w:r>
      <w:r>
        <w:rPr>
          <w:color w:val="000000" w:themeColor="text1"/>
          <w:lang w:val="en-US" w:eastAsia="ko-KR"/>
        </w:rPr>
        <w:t>for</w:t>
      </w:r>
      <w:r>
        <w:rPr>
          <w:color w:val="000000" w:themeColor="text1"/>
          <w:lang w:eastAsia="ko-KR"/>
        </w:rPr>
        <w:t xml:space="preserve"> UL coverage </w:t>
      </w:r>
      <w:r>
        <w:rPr>
          <w:color w:val="000000" w:themeColor="text1"/>
          <w:lang w:val="en-US" w:eastAsia="ko-KR"/>
        </w:rPr>
        <w:t>limited UEs</w:t>
      </w:r>
      <w:r>
        <w:rPr>
          <w:color w:val="000000" w:themeColor="text1"/>
          <w:lang w:eastAsia="ko-KR"/>
        </w:rPr>
        <w:t>.</w:t>
      </w:r>
    </w:p>
    <w:p w14:paraId="1A373684" w14:textId="469B5A8A" w:rsidR="00DC1ECF" w:rsidRDefault="00DC1ECF" w:rsidP="00475EF9">
      <w:pPr>
        <w:pStyle w:val="a4"/>
        <w:numPr>
          <w:ilvl w:val="0"/>
          <w:numId w:val="16"/>
        </w:numPr>
        <w:spacing w:line="288" w:lineRule="auto"/>
        <w:ind w:leftChars="0" w:hanging="357"/>
        <w:jc w:val="both"/>
        <w:rPr>
          <w:lang w:val="en-US" w:eastAsia="ko-KR"/>
        </w:rPr>
      </w:pPr>
      <w:r>
        <w:rPr>
          <w:lang w:val="en-US" w:eastAsia="ko-KR"/>
        </w:rPr>
        <w:t>Single wider bandwidth carrier: T</w:t>
      </w:r>
      <w:r w:rsidRPr="00495E0F">
        <w:rPr>
          <w:lang w:val="en-US" w:eastAsia="ko-KR"/>
        </w:rPr>
        <w:t xml:space="preserve">he </w:t>
      </w:r>
      <w:r>
        <w:rPr>
          <w:lang w:val="en-US" w:eastAsia="ko-KR"/>
        </w:rPr>
        <w:t xml:space="preserve">necessary </w:t>
      </w:r>
      <w:r w:rsidRPr="00495E0F">
        <w:rPr>
          <w:lang w:val="en-US" w:eastAsia="ko-KR"/>
        </w:rPr>
        <w:t xml:space="preserve">signaling for scheduling grant can be kept </w:t>
      </w:r>
      <w:r>
        <w:rPr>
          <w:lang w:val="en-US" w:eastAsia="ko-KR"/>
        </w:rPr>
        <w:t>smaller than that of CA/DC</w:t>
      </w:r>
      <w:r w:rsidRPr="00495E0F">
        <w:rPr>
          <w:lang w:val="en-US" w:eastAsia="ko-KR"/>
        </w:rPr>
        <w:t xml:space="preserve">. </w:t>
      </w:r>
      <w:r>
        <w:rPr>
          <w:lang w:val="en-US" w:eastAsia="ko-KR"/>
        </w:rPr>
        <w:t>Specifically, t</w:t>
      </w:r>
      <w:r w:rsidRPr="00383F58">
        <w:rPr>
          <w:lang w:val="en-US" w:eastAsia="ko-KR"/>
        </w:rPr>
        <w:t xml:space="preserve">he difference comes from whether the control information fields, e.g., HARQ related information, MCS, </w:t>
      </w:r>
      <w:r>
        <w:rPr>
          <w:lang w:val="en-US" w:eastAsia="ko-KR"/>
        </w:rPr>
        <w:t>and CRC</w:t>
      </w:r>
      <w:r w:rsidRPr="00383F58">
        <w:rPr>
          <w:lang w:val="en-US" w:eastAsia="ko-KR"/>
        </w:rPr>
        <w:t xml:space="preserve">, should be duplicated (CA/DC) or not (single carrier operation). </w:t>
      </w:r>
      <w:r>
        <w:rPr>
          <w:lang w:val="en-US" w:eastAsia="ko-KR"/>
        </w:rPr>
        <w:t xml:space="preserve">The signaling for resource assignment field can be saved as well by single carrier operation. Table </w:t>
      </w:r>
      <w:r w:rsidR="00585232">
        <w:rPr>
          <w:lang w:val="en-US" w:eastAsia="ko-KR"/>
        </w:rPr>
        <w:t>2</w:t>
      </w:r>
      <w:r>
        <w:rPr>
          <w:lang w:val="en-US" w:eastAsia="ko-KR"/>
        </w:rPr>
        <w:t xml:space="preserve"> shows the example of resource assignment bit size for CA/DC and single carrier operation, respectively. The overall signaling overhead gap is in proportion to the number of CCs for CA/DC.</w:t>
      </w:r>
    </w:p>
    <w:p w14:paraId="53331502" w14:textId="4B305B28" w:rsidR="00DC1ECF" w:rsidRDefault="00DC1ECF" w:rsidP="00DC1ECF">
      <w:pPr>
        <w:pStyle w:val="TH"/>
      </w:pPr>
      <w:r>
        <w:t xml:space="preserve">Table </w:t>
      </w:r>
      <w:r w:rsidR="00585232">
        <w:t>2</w:t>
      </w:r>
      <w:r>
        <w:t>: Example of resource assignment bit size: CA/DC and single carrier operation</w:t>
      </w:r>
    </w:p>
    <w:tbl>
      <w:tblPr>
        <w:tblStyle w:val="a6"/>
        <w:tblW w:w="9640" w:type="dxa"/>
        <w:tblInd w:w="-5" w:type="dxa"/>
        <w:tblLook w:val="04A0" w:firstRow="1" w:lastRow="0" w:firstColumn="1" w:lastColumn="0" w:noHBand="0" w:noVBand="1"/>
      </w:tblPr>
      <w:tblGrid>
        <w:gridCol w:w="2907"/>
        <w:gridCol w:w="3673"/>
        <w:gridCol w:w="3060"/>
      </w:tblGrid>
      <w:tr w:rsidR="00DC1ECF" w14:paraId="49F5B0BB" w14:textId="77777777" w:rsidTr="00F244C2">
        <w:trPr>
          <w:trHeight w:val="208"/>
        </w:trPr>
        <w:tc>
          <w:tcPr>
            <w:tcW w:w="2907" w:type="dxa"/>
            <w:vAlign w:val="center"/>
          </w:tcPr>
          <w:p w14:paraId="69B9CA43" w14:textId="77777777" w:rsidR="00DC1ECF" w:rsidRPr="00F82B68" w:rsidRDefault="00DC1ECF" w:rsidP="001B40AA">
            <w:pPr>
              <w:pStyle w:val="TAH0"/>
              <w:jc w:val="both"/>
              <w:rPr>
                <w:rFonts w:cs="Arial"/>
              </w:rPr>
            </w:pPr>
          </w:p>
        </w:tc>
        <w:tc>
          <w:tcPr>
            <w:tcW w:w="3673" w:type="dxa"/>
            <w:vAlign w:val="center"/>
          </w:tcPr>
          <w:p w14:paraId="179152B2" w14:textId="77777777" w:rsidR="00DC1ECF" w:rsidRPr="00F82B68" w:rsidRDefault="00DC1ECF" w:rsidP="001B40AA">
            <w:pPr>
              <w:pStyle w:val="TAH0"/>
              <w:rPr>
                <w:rFonts w:cs="Arial"/>
              </w:rPr>
            </w:pPr>
            <w:r w:rsidRPr="00F82B68">
              <w:rPr>
                <w:rFonts w:cs="Arial"/>
              </w:rPr>
              <w:t>CA/DC</w:t>
            </w:r>
          </w:p>
        </w:tc>
        <w:tc>
          <w:tcPr>
            <w:tcW w:w="3060" w:type="dxa"/>
            <w:vAlign w:val="center"/>
          </w:tcPr>
          <w:p w14:paraId="3D1E2EC9" w14:textId="77777777" w:rsidR="00DC1ECF" w:rsidRPr="00F82B68" w:rsidRDefault="00DC1ECF" w:rsidP="001B40AA">
            <w:pPr>
              <w:pStyle w:val="TAH0"/>
              <w:rPr>
                <w:rFonts w:cs="Arial"/>
              </w:rPr>
            </w:pPr>
            <w:r w:rsidRPr="00F82B68">
              <w:rPr>
                <w:rFonts w:cs="Arial"/>
              </w:rPr>
              <w:t>Single carrier operation</w:t>
            </w:r>
          </w:p>
        </w:tc>
      </w:tr>
      <w:tr w:rsidR="00DC1ECF" w14:paraId="240AF3F3" w14:textId="77777777" w:rsidTr="00F244C2">
        <w:trPr>
          <w:trHeight w:val="855"/>
        </w:trPr>
        <w:tc>
          <w:tcPr>
            <w:tcW w:w="2907" w:type="dxa"/>
            <w:vAlign w:val="center"/>
          </w:tcPr>
          <w:p w14:paraId="7189DC5C" w14:textId="77777777" w:rsidR="00DC1ECF" w:rsidRPr="00F82B68" w:rsidRDefault="00DC1ECF" w:rsidP="001B40AA">
            <w:pPr>
              <w:pStyle w:val="TAH0"/>
              <w:rPr>
                <w:rFonts w:eastAsiaTheme="minorEastAsia" w:cs="Arial"/>
                <w:lang w:eastAsia="ko-KR"/>
              </w:rPr>
            </w:pPr>
            <w:r>
              <w:rPr>
                <w:rFonts w:eastAsiaTheme="minorEastAsia" w:cs="Arial"/>
                <w:lang w:eastAsia="ko-KR"/>
              </w:rPr>
              <w:t>A</w:t>
            </w:r>
            <w:r>
              <w:rPr>
                <w:rFonts w:eastAsiaTheme="minorEastAsia" w:cs="Arial" w:hint="eastAsia"/>
                <w:lang w:eastAsia="ko-KR"/>
              </w:rPr>
              <w:t>ssumption</w:t>
            </w:r>
          </w:p>
        </w:tc>
        <w:tc>
          <w:tcPr>
            <w:tcW w:w="3673" w:type="dxa"/>
            <w:vAlign w:val="center"/>
          </w:tcPr>
          <w:p w14:paraId="50D79AE0" w14:textId="77777777" w:rsidR="00DC1ECF" w:rsidRPr="00F82B68" w:rsidRDefault="00DC1ECF" w:rsidP="001B40AA">
            <w:pPr>
              <w:pStyle w:val="TAH0"/>
              <w:jc w:val="both"/>
              <w:rPr>
                <w:rFonts w:cs="Arial"/>
                <w:b w:val="0"/>
              </w:rPr>
            </w:pPr>
            <w:r w:rsidRPr="00F82B68">
              <w:rPr>
                <w:rFonts w:cs="Arial"/>
                <w:b w:val="0"/>
              </w:rPr>
              <w:t>Total BW = 2 x carrier BW</w:t>
            </w:r>
            <w:r>
              <w:rPr>
                <w:rFonts w:cs="Arial"/>
                <w:b w:val="0"/>
              </w:rPr>
              <w:t xml:space="preserve"> (i.e. 2 CCs)</w:t>
            </w:r>
          </w:p>
          <w:p w14:paraId="7A5D5B1D" w14:textId="77777777" w:rsidR="00DC1ECF" w:rsidRDefault="00DC1ECF" w:rsidP="001B40AA">
            <w:pPr>
              <w:pStyle w:val="TAH0"/>
              <w:jc w:val="both"/>
              <w:rPr>
                <w:rFonts w:cs="Arial"/>
                <w:b w:val="0"/>
              </w:rPr>
            </w:pPr>
            <w:r w:rsidRPr="00F82B68">
              <w:rPr>
                <w:rFonts w:cs="Arial"/>
                <w:b w:val="0"/>
              </w:rPr>
              <w:t>Carrier BW</w:t>
            </w:r>
            <w:r>
              <w:rPr>
                <w:rFonts w:cs="Arial"/>
                <w:b w:val="0"/>
              </w:rPr>
              <w:t xml:space="preserve">, </w:t>
            </w:r>
            <w:r w:rsidRPr="00F82B68">
              <w:rPr>
                <w:rFonts w:cs="Arial"/>
                <w:b w:val="0"/>
                <w:position w:val="-10"/>
              </w:rPr>
              <w:object w:dxaOrig="480" w:dyaOrig="360" w14:anchorId="06D34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v:imagedata r:id="rId8" o:title=""/>
                </v:shape>
                <o:OLEObject Type="Embed" ProgID="Equation.3" ShapeID="_x0000_i1025" DrawAspect="Content" ObjectID="_1551882377" r:id="rId9"/>
              </w:object>
            </w:r>
            <w:r w:rsidRPr="00F82B68">
              <w:rPr>
                <w:rFonts w:cs="Arial"/>
                <w:b w:val="0"/>
              </w:rPr>
              <w:t>= 100</w:t>
            </w:r>
            <w:r>
              <w:rPr>
                <w:rFonts w:cs="Arial"/>
                <w:b w:val="0"/>
              </w:rPr>
              <w:t xml:space="preserve"> PRBs</w:t>
            </w:r>
          </w:p>
          <w:p w14:paraId="6A7D5C45" w14:textId="77777777" w:rsidR="00DC1ECF" w:rsidRPr="00F82B68" w:rsidRDefault="00DC1ECF" w:rsidP="001B40AA">
            <w:pPr>
              <w:pStyle w:val="TAH0"/>
              <w:jc w:val="both"/>
              <w:rPr>
                <w:rFonts w:cs="Arial"/>
                <w:b w:val="0"/>
              </w:rPr>
            </w:pPr>
            <w:r>
              <w:rPr>
                <w:rFonts w:cs="Arial"/>
                <w:b w:val="0"/>
              </w:rPr>
              <w:t>RBG size (P) = 4</w:t>
            </w:r>
          </w:p>
        </w:tc>
        <w:tc>
          <w:tcPr>
            <w:tcW w:w="3060" w:type="dxa"/>
            <w:vAlign w:val="center"/>
          </w:tcPr>
          <w:p w14:paraId="6649C344" w14:textId="77777777" w:rsidR="00DC1ECF" w:rsidRPr="00F82B68" w:rsidRDefault="00DC1ECF" w:rsidP="001B40AA">
            <w:pPr>
              <w:pStyle w:val="TAH0"/>
              <w:jc w:val="both"/>
              <w:rPr>
                <w:rFonts w:cs="Arial"/>
                <w:b w:val="0"/>
              </w:rPr>
            </w:pPr>
            <w:r w:rsidRPr="00F82B68">
              <w:rPr>
                <w:rFonts w:cs="Arial"/>
                <w:b w:val="0"/>
              </w:rPr>
              <w:t>Total BW = carrier BW</w:t>
            </w:r>
          </w:p>
          <w:p w14:paraId="36D4FFBD" w14:textId="77777777" w:rsidR="00DC1ECF" w:rsidRDefault="00DC1ECF" w:rsidP="001B40AA">
            <w:pPr>
              <w:pStyle w:val="TAH0"/>
              <w:jc w:val="both"/>
              <w:rPr>
                <w:rFonts w:cs="Arial"/>
                <w:b w:val="0"/>
              </w:rPr>
            </w:pPr>
            <w:r>
              <w:rPr>
                <w:rFonts w:cs="Arial"/>
                <w:b w:val="0"/>
              </w:rPr>
              <w:t xml:space="preserve">Carrier BW, </w:t>
            </w:r>
            <w:r w:rsidRPr="00F82B68">
              <w:rPr>
                <w:rFonts w:cs="Arial"/>
                <w:b w:val="0"/>
                <w:position w:val="-10"/>
              </w:rPr>
              <w:object w:dxaOrig="480" w:dyaOrig="360" w14:anchorId="722AB41F">
                <v:shape id="_x0000_i1026" type="#_x0000_t75" style="width:21.5pt;height:21.5pt" o:ole="">
                  <v:imagedata r:id="rId8" o:title=""/>
                </v:shape>
                <o:OLEObject Type="Embed" ProgID="Equation.3" ShapeID="_x0000_i1026" DrawAspect="Content" ObjectID="_1551882378" r:id="rId10"/>
              </w:object>
            </w:r>
            <w:r w:rsidRPr="00F82B68">
              <w:rPr>
                <w:rFonts w:cs="Arial"/>
                <w:b w:val="0"/>
              </w:rPr>
              <w:t>= 200</w:t>
            </w:r>
            <w:r>
              <w:rPr>
                <w:rFonts w:cs="Arial"/>
                <w:b w:val="0"/>
              </w:rPr>
              <w:t xml:space="preserve"> PRBs</w:t>
            </w:r>
          </w:p>
          <w:p w14:paraId="2463CF0D" w14:textId="77777777" w:rsidR="00DC1ECF" w:rsidRPr="00F82B68" w:rsidRDefault="00DC1ECF" w:rsidP="001B40AA">
            <w:pPr>
              <w:pStyle w:val="TAH0"/>
              <w:jc w:val="both"/>
              <w:rPr>
                <w:rFonts w:cs="Arial"/>
                <w:b w:val="0"/>
              </w:rPr>
            </w:pPr>
            <w:r>
              <w:rPr>
                <w:rFonts w:cs="Arial"/>
                <w:b w:val="0"/>
              </w:rPr>
              <w:t>RBG size (P) = 4, 8</w:t>
            </w:r>
          </w:p>
        </w:tc>
      </w:tr>
      <w:tr w:rsidR="00DC1ECF" w14:paraId="1C833158" w14:textId="77777777" w:rsidTr="00F244C2">
        <w:trPr>
          <w:trHeight w:val="647"/>
        </w:trPr>
        <w:tc>
          <w:tcPr>
            <w:tcW w:w="2907" w:type="dxa"/>
            <w:vAlign w:val="center"/>
          </w:tcPr>
          <w:p w14:paraId="533D7D07" w14:textId="77777777" w:rsidR="00DC1ECF" w:rsidRPr="00F82B68" w:rsidRDefault="00DC1ECF" w:rsidP="001B40AA">
            <w:pPr>
              <w:pStyle w:val="TAH0"/>
              <w:rPr>
                <w:rFonts w:cs="Arial"/>
              </w:rPr>
            </w:pPr>
            <w:r w:rsidRPr="00F82B68">
              <w:rPr>
                <w:rFonts w:cs="Arial"/>
              </w:rPr>
              <w:t>Resource allocation type 0/1</w:t>
            </w:r>
          </w:p>
          <w:p w14:paraId="78F267E1" w14:textId="77777777" w:rsidR="00DC1ECF" w:rsidRPr="00F82B68" w:rsidRDefault="00DC1ECF" w:rsidP="001B40AA">
            <w:pPr>
              <w:pStyle w:val="TAH0"/>
              <w:rPr>
                <w:rFonts w:cs="Arial"/>
              </w:rPr>
            </w:pPr>
            <w:r w:rsidRPr="00F82B68">
              <w:rPr>
                <w:rFonts w:cs="Arial"/>
              </w:rPr>
              <w:object w:dxaOrig="940" w:dyaOrig="400" w14:anchorId="6B4D0EDB">
                <v:shape id="_x0000_i1027" type="#_x0000_t75" style="width:50.5pt;height:21.5pt" o:ole="">
                  <v:imagedata r:id="rId11" o:title=""/>
                </v:shape>
                <o:OLEObject Type="Embed" ProgID="Equation.3" ShapeID="_x0000_i1027" DrawAspect="Content" ObjectID="_1551882379" r:id="rId12"/>
              </w:object>
            </w:r>
          </w:p>
        </w:tc>
        <w:tc>
          <w:tcPr>
            <w:tcW w:w="3673" w:type="dxa"/>
            <w:vAlign w:val="center"/>
          </w:tcPr>
          <w:p w14:paraId="068829FD" w14:textId="77777777" w:rsidR="00DC1ECF" w:rsidRDefault="00DC1ECF" w:rsidP="001B40AA">
            <w:pPr>
              <w:pStyle w:val="TAH0"/>
              <w:jc w:val="both"/>
              <w:rPr>
                <w:rFonts w:eastAsiaTheme="minorEastAsia" w:cs="Arial"/>
                <w:lang w:eastAsia="ko-KR"/>
              </w:rPr>
            </w:pPr>
            <w:r>
              <w:rPr>
                <w:rFonts w:eastAsiaTheme="minorEastAsia" w:cs="Arial"/>
                <w:b w:val="0"/>
                <w:lang w:eastAsia="ko-KR"/>
              </w:rPr>
              <w:t>50 bits / total BW</w:t>
            </w:r>
          </w:p>
          <w:p w14:paraId="30BF7D24" w14:textId="77777777" w:rsidR="00DC1ECF" w:rsidRPr="00F82B68" w:rsidRDefault="00DC1ECF" w:rsidP="001B40AA">
            <w:pPr>
              <w:pStyle w:val="TAH0"/>
              <w:jc w:val="both"/>
              <w:rPr>
                <w:rFonts w:eastAsiaTheme="minorEastAsia" w:cs="Arial"/>
                <w:lang w:eastAsia="ko-KR"/>
              </w:rPr>
            </w:pPr>
            <w:r>
              <w:rPr>
                <w:rFonts w:eastAsiaTheme="minorEastAsia" w:cs="Arial"/>
                <w:b w:val="0"/>
                <w:lang w:eastAsia="ko-KR"/>
              </w:rPr>
              <w:t>(</w:t>
            </w:r>
            <w:r w:rsidRPr="008E48A5">
              <w:rPr>
                <w:rFonts w:eastAsiaTheme="minorEastAsia" w:cs="Arial" w:hint="eastAsia"/>
                <w:b w:val="0"/>
                <w:lang w:eastAsia="ko-KR"/>
              </w:rPr>
              <w:t>25 bit</w:t>
            </w:r>
            <w:r w:rsidRPr="008E48A5">
              <w:rPr>
                <w:rFonts w:eastAsiaTheme="minorEastAsia" w:cs="Arial"/>
                <w:b w:val="0"/>
                <w:lang w:eastAsia="ko-KR"/>
              </w:rPr>
              <w:t>s</w:t>
            </w:r>
            <w:r w:rsidRPr="008E48A5">
              <w:rPr>
                <w:rFonts w:eastAsiaTheme="minorEastAsia" w:cs="Arial" w:hint="eastAsia"/>
                <w:b w:val="0"/>
                <w:lang w:eastAsia="ko-KR"/>
              </w:rPr>
              <w:t xml:space="preserve"> / </w:t>
            </w:r>
            <w:r w:rsidRPr="008E48A5">
              <w:rPr>
                <w:rFonts w:eastAsiaTheme="minorEastAsia" w:cs="Arial"/>
                <w:b w:val="0"/>
                <w:lang w:eastAsia="ko-KR"/>
              </w:rPr>
              <w:t>CC</w:t>
            </w:r>
            <w:r>
              <w:rPr>
                <w:rFonts w:eastAsiaTheme="minorEastAsia" w:cs="Arial" w:hint="eastAsia"/>
                <w:b w:val="0"/>
                <w:lang w:eastAsia="ko-KR"/>
              </w:rPr>
              <w:t>)</w:t>
            </w:r>
          </w:p>
        </w:tc>
        <w:tc>
          <w:tcPr>
            <w:tcW w:w="3060" w:type="dxa"/>
            <w:vAlign w:val="center"/>
          </w:tcPr>
          <w:p w14:paraId="3D30AAB1" w14:textId="77777777" w:rsidR="00DC1ECF" w:rsidRDefault="00DC1ECF" w:rsidP="001B40AA">
            <w:pPr>
              <w:pStyle w:val="TAH0"/>
              <w:jc w:val="both"/>
              <w:rPr>
                <w:rFonts w:eastAsiaTheme="minorEastAsia" w:cs="Arial"/>
                <w:lang w:eastAsia="ko-KR"/>
              </w:rPr>
            </w:pPr>
            <w:r w:rsidRPr="00F82B68">
              <w:rPr>
                <w:rFonts w:eastAsiaTheme="minorEastAsia" w:cs="Arial"/>
                <w:b w:val="0"/>
                <w:lang w:eastAsia="ko-KR"/>
              </w:rPr>
              <w:t>50 bits</w:t>
            </w:r>
            <w:r>
              <w:rPr>
                <w:rFonts w:eastAsiaTheme="minorEastAsia" w:cs="Arial"/>
                <w:b w:val="0"/>
                <w:lang w:eastAsia="ko-KR"/>
              </w:rPr>
              <w:t xml:space="preserve"> / total BW (P=4)</w:t>
            </w:r>
          </w:p>
          <w:p w14:paraId="0F110F43" w14:textId="77777777" w:rsidR="00DC1ECF" w:rsidRPr="00F82B68" w:rsidRDefault="00DC1ECF" w:rsidP="001B40AA">
            <w:pPr>
              <w:pStyle w:val="TAH0"/>
              <w:jc w:val="both"/>
              <w:rPr>
                <w:rFonts w:eastAsiaTheme="minorEastAsia" w:cs="Arial"/>
                <w:lang w:eastAsia="ko-KR"/>
              </w:rPr>
            </w:pPr>
            <w:r>
              <w:rPr>
                <w:rFonts w:eastAsiaTheme="minorEastAsia" w:cs="Arial"/>
                <w:b w:val="0"/>
                <w:lang w:eastAsia="ko-KR"/>
              </w:rPr>
              <w:t>25</w:t>
            </w:r>
            <w:r w:rsidRPr="008E48A5">
              <w:rPr>
                <w:rFonts w:eastAsiaTheme="minorEastAsia" w:cs="Arial" w:hint="eastAsia"/>
                <w:b w:val="0"/>
                <w:lang w:eastAsia="ko-KR"/>
              </w:rPr>
              <w:t xml:space="preserve"> bits</w:t>
            </w:r>
            <w:r>
              <w:rPr>
                <w:rFonts w:eastAsiaTheme="minorEastAsia" w:cs="Arial"/>
                <w:b w:val="0"/>
                <w:lang w:eastAsia="ko-KR"/>
              </w:rPr>
              <w:t xml:space="preserve"> / total BW (P=8)</w:t>
            </w:r>
          </w:p>
        </w:tc>
      </w:tr>
      <w:tr w:rsidR="00DC1ECF" w14:paraId="5272F4BD" w14:textId="77777777" w:rsidTr="00F244C2">
        <w:trPr>
          <w:trHeight w:val="647"/>
        </w:trPr>
        <w:tc>
          <w:tcPr>
            <w:tcW w:w="2907" w:type="dxa"/>
            <w:vAlign w:val="center"/>
          </w:tcPr>
          <w:p w14:paraId="7008B2B1" w14:textId="77777777" w:rsidR="00DC1ECF" w:rsidRPr="00F82B68" w:rsidRDefault="00DC1ECF" w:rsidP="001B40AA">
            <w:pPr>
              <w:pStyle w:val="TAH0"/>
              <w:rPr>
                <w:rFonts w:cs="Arial"/>
              </w:rPr>
            </w:pPr>
            <w:r w:rsidRPr="00F82B68">
              <w:rPr>
                <w:rFonts w:cs="Arial"/>
              </w:rPr>
              <w:t>Resource allocation type 2</w:t>
            </w:r>
          </w:p>
          <w:p w14:paraId="18BC1335" w14:textId="77777777" w:rsidR="00DC1ECF" w:rsidRPr="00F82B68" w:rsidRDefault="00DC1ECF" w:rsidP="001B40AA">
            <w:pPr>
              <w:pStyle w:val="TAH0"/>
              <w:rPr>
                <w:rFonts w:cs="Arial"/>
              </w:rPr>
            </w:pPr>
            <w:r w:rsidRPr="00F82B68">
              <w:rPr>
                <w:rFonts w:cs="Arial"/>
              </w:rPr>
              <w:object w:dxaOrig="2160" w:dyaOrig="400" w14:anchorId="063FE2AB">
                <v:shape id="_x0000_i1028" type="#_x0000_t75" style="width:109.05pt;height:21.5pt" o:ole="">
                  <v:imagedata r:id="rId13" o:title=""/>
                </v:shape>
                <o:OLEObject Type="Embed" ProgID="Equation.3" ShapeID="_x0000_i1028" DrawAspect="Content" ObjectID="_1551882380" r:id="rId14"/>
              </w:object>
            </w:r>
          </w:p>
        </w:tc>
        <w:tc>
          <w:tcPr>
            <w:tcW w:w="3673" w:type="dxa"/>
            <w:vAlign w:val="center"/>
          </w:tcPr>
          <w:p w14:paraId="0239A91B" w14:textId="77777777" w:rsidR="00DC1ECF" w:rsidRDefault="00DC1ECF" w:rsidP="001B40AA">
            <w:pPr>
              <w:pStyle w:val="TAH0"/>
              <w:jc w:val="both"/>
              <w:rPr>
                <w:rFonts w:eastAsiaTheme="minorEastAsia" w:cs="Arial"/>
                <w:lang w:eastAsia="ko-KR"/>
              </w:rPr>
            </w:pPr>
            <w:r>
              <w:rPr>
                <w:rFonts w:eastAsiaTheme="minorEastAsia" w:cs="Arial"/>
                <w:b w:val="0"/>
                <w:lang w:eastAsia="ko-KR"/>
              </w:rPr>
              <w:t>26 bits / total BW</w:t>
            </w:r>
          </w:p>
          <w:p w14:paraId="791923E8" w14:textId="77777777" w:rsidR="00DC1ECF" w:rsidRPr="00F82B68" w:rsidRDefault="00DC1ECF" w:rsidP="001B40AA">
            <w:pPr>
              <w:pStyle w:val="TAH0"/>
              <w:jc w:val="both"/>
              <w:rPr>
                <w:rFonts w:eastAsiaTheme="minorEastAsia" w:cs="Arial"/>
                <w:lang w:eastAsia="ko-KR"/>
              </w:rPr>
            </w:pPr>
            <w:r>
              <w:rPr>
                <w:rFonts w:eastAsiaTheme="minorEastAsia" w:cs="Arial"/>
                <w:b w:val="0"/>
                <w:lang w:eastAsia="ko-KR"/>
              </w:rPr>
              <w:t>(</w:t>
            </w:r>
            <w:r>
              <w:rPr>
                <w:rFonts w:eastAsiaTheme="minorEastAsia" w:cs="Arial" w:hint="eastAsia"/>
                <w:b w:val="0"/>
                <w:lang w:eastAsia="ko-KR"/>
              </w:rPr>
              <w:t>13 bits / CC)</w:t>
            </w:r>
          </w:p>
        </w:tc>
        <w:tc>
          <w:tcPr>
            <w:tcW w:w="3060" w:type="dxa"/>
            <w:vAlign w:val="center"/>
          </w:tcPr>
          <w:p w14:paraId="548376D7" w14:textId="77777777" w:rsidR="00DC1ECF" w:rsidRPr="00F82B68" w:rsidRDefault="00DC1ECF" w:rsidP="001B40AA">
            <w:pPr>
              <w:pStyle w:val="TAH0"/>
              <w:jc w:val="both"/>
              <w:rPr>
                <w:rFonts w:cs="Arial"/>
              </w:rPr>
            </w:pPr>
            <w:r>
              <w:rPr>
                <w:rFonts w:cs="Arial"/>
                <w:b w:val="0"/>
              </w:rPr>
              <w:t>15 bits / total BW</w:t>
            </w:r>
          </w:p>
        </w:tc>
      </w:tr>
    </w:tbl>
    <w:p w14:paraId="3E6114E2" w14:textId="05E69E83" w:rsidR="00DC1ECF" w:rsidRDefault="00DC1ECF" w:rsidP="00333C11">
      <w:pPr>
        <w:spacing w:before="120" w:line="288" w:lineRule="auto"/>
        <w:jc w:val="both"/>
        <w:rPr>
          <w:lang w:eastAsia="ko-KR"/>
        </w:rPr>
      </w:pPr>
      <w:r>
        <w:rPr>
          <w:rFonts w:hint="eastAsia"/>
          <w:lang w:eastAsia="ko-KR"/>
        </w:rPr>
        <w:t>T</w:t>
      </w:r>
      <w:r>
        <w:rPr>
          <w:lang w:eastAsia="ko-KR"/>
        </w:rPr>
        <w:t xml:space="preserve">able </w:t>
      </w:r>
      <w:r w:rsidR="00585232">
        <w:rPr>
          <w:lang w:eastAsia="ko-KR"/>
        </w:rPr>
        <w:t>3</w:t>
      </w:r>
      <w:r>
        <w:rPr>
          <w:lang w:eastAsia="ko-KR"/>
        </w:rPr>
        <w:t xml:space="preserve"> summarizes the overall comparison between CA/DC and single carrier operation:</w:t>
      </w:r>
    </w:p>
    <w:p w14:paraId="2D6B084E" w14:textId="60EFF93D" w:rsidR="00DC1ECF" w:rsidRDefault="00DC1ECF" w:rsidP="00DC1ECF">
      <w:pPr>
        <w:pStyle w:val="TH"/>
      </w:pPr>
      <w:r>
        <w:t xml:space="preserve">Table </w:t>
      </w:r>
      <w:r w:rsidR="00585232">
        <w:t>3</w:t>
      </w:r>
      <w:r>
        <w:t>: Comparison between CA/DC and single carrier operation</w:t>
      </w:r>
    </w:p>
    <w:tbl>
      <w:tblPr>
        <w:tblStyle w:val="a6"/>
        <w:tblW w:w="9722" w:type="dxa"/>
        <w:tblInd w:w="-5" w:type="dxa"/>
        <w:tblLook w:val="04A0" w:firstRow="1" w:lastRow="0" w:firstColumn="1" w:lastColumn="0" w:noHBand="0" w:noVBand="1"/>
      </w:tblPr>
      <w:tblGrid>
        <w:gridCol w:w="2126"/>
        <w:gridCol w:w="3798"/>
        <w:gridCol w:w="3798"/>
      </w:tblGrid>
      <w:tr w:rsidR="00DC1ECF" w:rsidRPr="004B44D1" w14:paraId="145A8515" w14:textId="77777777" w:rsidTr="001B40AA">
        <w:tc>
          <w:tcPr>
            <w:tcW w:w="2126" w:type="dxa"/>
            <w:vAlign w:val="center"/>
          </w:tcPr>
          <w:p w14:paraId="7E2A68E1" w14:textId="77777777" w:rsidR="00DC1ECF" w:rsidRPr="004B44D1" w:rsidRDefault="00DC1ECF" w:rsidP="001B40AA">
            <w:pPr>
              <w:pStyle w:val="TAH0"/>
              <w:jc w:val="both"/>
              <w:rPr>
                <w:rFonts w:cs="Arial"/>
              </w:rPr>
            </w:pPr>
          </w:p>
        </w:tc>
        <w:tc>
          <w:tcPr>
            <w:tcW w:w="3798" w:type="dxa"/>
          </w:tcPr>
          <w:p w14:paraId="3C068A0E" w14:textId="77777777" w:rsidR="00DC1ECF" w:rsidRPr="004B44D1" w:rsidRDefault="00DC1ECF" w:rsidP="001B40AA">
            <w:pPr>
              <w:pStyle w:val="TAH0"/>
              <w:rPr>
                <w:rFonts w:cs="Arial"/>
              </w:rPr>
            </w:pPr>
            <w:r w:rsidRPr="004B44D1">
              <w:rPr>
                <w:rFonts w:cs="Arial" w:hint="eastAsia"/>
              </w:rPr>
              <w:t>CA/DC</w:t>
            </w:r>
          </w:p>
        </w:tc>
        <w:tc>
          <w:tcPr>
            <w:tcW w:w="3798" w:type="dxa"/>
          </w:tcPr>
          <w:p w14:paraId="61EB20E9" w14:textId="77777777" w:rsidR="00DC1ECF" w:rsidRPr="004B44D1" w:rsidRDefault="00DC1ECF" w:rsidP="001B40AA">
            <w:pPr>
              <w:pStyle w:val="TAH0"/>
              <w:rPr>
                <w:rFonts w:eastAsiaTheme="minorEastAsia" w:cs="Arial"/>
                <w:lang w:eastAsia="ko-KR"/>
              </w:rPr>
            </w:pPr>
            <w:r>
              <w:rPr>
                <w:rFonts w:eastAsiaTheme="minorEastAsia" w:cs="Arial"/>
                <w:lang w:eastAsia="ko-KR"/>
              </w:rPr>
              <w:t>S</w:t>
            </w:r>
            <w:r>
              <w:rPr>
                <w:rFonts w:eastAsiaTheme="minorEastAsia" w:cs="Arial" w:hint="eastAsia"/>
                <w:lang w:eastAsia="ko-KR"/>
              </w:rPr>
              <w:t xml:space="preserve">ingle </w:t>
            </w:r>
            <w:r>
              <w:rPr>
                <w:rFonts w:eastAsiaTheme="minorEastAsia" w:cs="Arial"/>
                <w:lang w:eastAsia="ko-KR"/>
              </w:rPr>
              <w:t>carrier operation</w:t>
            </w:r>
          </w:p>
        </w:tc>
      </w:tr>
      <w:tr w:rsidR="00DC1ECF" w:rsidRPr="004C437A" w14:paraId="4D5C3172" w14:textId="77777777" w:rsidTr="001B40AA">
        <w:tc>
          <w:tcPr>
            <w:tcW w:w="2126" w:type="dxa"/>
            <w:vAlign w:val="center"/>
          </w:tcPr>
          <w:p w14:paraId="6FB02276" w14:textId="77777777" w:rsidR="00DC1ECF" w:rsidRPr="00976874" w:rsidRDefault="00DC1ECF" w:rsidP="001B40AA">
            <w:pPr>
              <w:pStyle w:val="TAH0"/>
              <w:rPr>
                <w:rFonts w:eastAsiaTheme="minorEastAsia" w:cs="Arial"/>
                <w:lang w:eastAsia="ko-KR"/>
              </w:rPr>
            </w:pPr>
            <w:r>
              <w:rPr>
                <w:rFonts w:eastAsiaTheme="minorEastAsia" w:cs="Arial" w:hint="eastAsia"/>
                <w:lang w:eastAsia="ko-KR"/>
              </w:rPr>
              <w:t>L</w:t>
            </w:r>
            <w:r>
              <w:rPr>
                <w:rFonts w:eastAsiaTheme="minorEastAsia" w:cs="Arial"/>
                <w:lang w:eastAsia="ko-KR"/>
              </w:rPr>
              <w:t>ink adaptation</w:t>
            </w:r>
          </w:p>
        </w:tc>
        <w:tc>
          <w:tcPr>
            <w:tcW w:w="3798" w:type="dxa"/>
            <w:vAlign w:val="center"/>
          </w:tcPr>
          <w:p w14:paraId="5326ECAC" w14:textId="77777777" w:rsidR="00DC1ECF" w:rsidRPr="00E6664D" w:rsidRDefault="00DC1ECF" w:rsidP="001B40AA">
            <w:pPr>
              <w:pStyle w:val="TAH0"/>
              <w:jc w:val="both"/>
              <w:rPr>
                <w:rFonts w:eastAsiaTheme="minorEastAsia" w:cs="Arial"/>
                <w:b w:val="0"/>
                <w:lang w:eastAsia="ko-KR"/>
              </w:rPr>
            </w:pPr>
            <w:r>
              <w:rPr>
                <w:rFonts w:eastAsiaTheme="minorEastAsia" w:cs="Arial"/>
                <w:b w:val="0"/>
                <w:lang w:eastAsia="ko-KR"/>
              </w:rPr>
              <w:t xml:space="preserve">within a </w:t>
            </w:r>
            <w:r w:rsidRPr="00E6664D">
              <w:rPr>
                <w:rFonts w:eastAsiaTheme="minorEastAsia" w:cs="Arial"/>
                <w:b w:val="0"/>
                <w:lang w:eastAsia="ko-KR"/>
              </w:rPr>
              <w:t>CC</w:t>
            </w:r>
          </w:p>
        </w:tc>
        <w:tc>
          <w:tcPr>
            <w:tcW w:w="3798" w:type="dxa"/>
            <w:vAlign w:val="center"/>
          </w:tcPr>
          <w:p w14:paraId="17525A3A" w14:textId="77777777" w:rsidR="00DC1ECF" w:rsidRPr="004C437A" w:rsidRDefault="00DC1ECF" w:rsidP="001B40AA">
            <w:pPr>
              <w:pStyle w:val="TAH0"/>
              <w:jc w:val="both"/>
              <w:rPr>
                <w:rFonts w:eastAsiaTheme="minorEastAsia" w:cs="Arial"/>
                <w:b w:val="0"/>
                <w:lang w:eastAsia="ko-KR"/>
              </w:rPr>
            </w:pPr>
            <w:r>
              <w:rPr>
                <w:rFonts w:eastAsiaTheme="minorEastAsia" w:cs="Arial"/>
                <w:b w:val="0"/>
                <w:lang w:eastAsia="ko-KR"/>
              </w:rPr>
              <w:t>within a wider single carrier</w:t>
            </w:r>
          </w:p>
        </w:tc>
      </w:tr>
      <w:tr w:rsidR="00DC1ECF" w:rsidRPr="004C437A" w14:paraId="58A31077" w14:textId="77777777" w:rsidTr="001B40AA">
        <w:tc>
          <w:tcPr>
            <w:tcW w:w="2126" w:type="dxa"/>
            <w:vAlign w:val="center"/>
          </w:tcPr>
          <w:p w14:paraId="64E1BC1A" w14:textId="77777777" w:rsidR="00DC1ECF" w:rsidRPr="00976874" w:rsidRDefault="00DC1ECF" w:rsidP="001B40AA">
            <w:pPr>
              <w:pStyle w:val="TAH0"/>
              <w:rPr>
                <w:rFonts w:eastAsiaTheme="minorEastAsia" w:cs="Arial"/>
                <w:lang w:eastAsia="ko-KR"/>
              </w:rPr>
            </w:pPr>
            <w:r>
              <w:rPr>
                <w:rFonts w:eastAsiaTheme="minorEastAsia" w:cs="Arial" w:hint="eastAsia"/>
                <w:lang w:eastAsia="ko-KR"/>
              </w:rPr>
              <w:t>U</w:t>
            </w:r>
            <w:r>
              <w:rPr>
                <w:rFonts w:eastAsiaTheme="minorEastAsia" w:cs="Arial"/>
                <w:lang w:eastAsia="ko-KR"/>
              </w:rPr>
              <w:t>E energy efficiency</w:t>
            </w:r>
          </w:p>
        </w:tc>
        <w:tc>
          <w:tcPr>
            <w:tcW w:w="3798" w:type="dxa"/>
            <w:vAlign w:val="center"/>
          </w:tcPr>
          <w:p w14:paraId="42FA1B8B" w14:textId="77777777" w:rsidR="00DC1ECF" w:rsidRPr="00E6664D" w:rsidRDefault="00DC1ECF" w:rsidP="001B40AA">
            <w:pPr>
              <w:pStyle w:val="TAH0"/>
              <w:jc w:val="both"/>
              <w:rPr>
                <w:rFonts w:eastAsiaTheme="minorEastAsia" w:cs="Arial"/>
                <w:b w:val="0"/>
                <w:lang w:eastAsia="ko-KR"/>
              </w:rPr>
            </w:pPr>
            <w:r>
              <w:rPr>
                <w:rFonts w:eastAsiaTheme="minorEastAsia" w:cs="Arial"/>
                <w:b w:val="0"/>
                <w:lang w:eastAsia="ko-KR"/>
              </w:rPr>
              <w:t xml:space="preserve">via </w:t>
            </w:r>
            <w:r w:rsidRPr="00E6664D">
              <w:rPr>
                <w:rFonts w:eastAsiaTheme="minorEastAsia" w:cs="Arial" w:hint="eastAsia"/>
                <w:b w:val="0"/>
                <w:lang w:eastAsia="ko-KR"/>
              </w:rPr>
              <w:t>S</w:t>
            </w:r>
            <w:r w:rsidRPr="00E6664D">
              <w:rPr>
                <w:rFonts w:eastAsiaTheme="minorEastAsia" w:cs="Arial"/>
                <w:b w:val="0"/>
                <w:lang w:eastAsia="ko-KR"/>
              </w:rPr>
              <w:t>Cell activation/deactivation</w:t>
            </w:r>
          </w:p>
        </w:tc>
        <w:tc>
          <w:tcPr>
            <w:tcW w:w="3798" w:type="dxa"/>
            <w:vAlign w:val="center"/>
          </w:tcPr>
          <w:p w14:paraId="0FFF8522" w14:textId="77777777" w:rsidR="00DC1ECF" w:rsidRPr="004C437A" w:rsidRDefault="00DC1ECF" w:rsidP="001B40AA">
            <w:pPr>
              <w:pStyle w:val="TAH0"/>
              <w:jc w:val="both"/>
              <w:rPr>
                <w:rFonts w:eastAsiaTheme="minorEastAsia" w:cs="Arial"/>
                <w:b w:val="0"/>
                <w:lang w:eastAsia="ko-KR"/>
              </w:rPr>
            </w:pPr>
            <w:r>
              <w:rPr>
                <w:rFonts w:eastAsiaTheme="minorEastAsia" w:cs="Arial"/>
                <w:b w:val="0"/>
                <w:lang w:eastAsia="ko-KR"/>
              </w:rPr>
              <w:t>via less blind decoding</w:t>
            </w:r>
          </w:p>
        </w:tc>
      </w:tr>
      <w:tr w:rsidR="00DC1ECF" w:rsidRPr="00E6664D" w14:paraId="3CED6AE5" w14:textId="77777777" w:rsidTr="001B40AA">
        <w:tc>
          <w:tcPr>
            <w:tcW w:w="2126" w:type="dxa"/>
            <w:vAlign w:val="center"/>
          </w:tcPr>
          <w:p w14:paraId="02BB7808" w14:textId="77777777" w:rsidR="00DC1ECF" w:rsidRPr="004B44D1" w:rsidRDefault="00DC1ECF" w:rsidP="001B40AA">
            <w:pPr>
              <w:pStyle w:val="TAH0"/>
              <w:rPr>
                <w:rFonts w:cs="Arial"/>
              </w:rPr>
            </w:pPr>
            <w:r>
              <w:rPr>
                <w:rFonts w:eastAsiaTheme="minorEastAsia" w:cs="Arial"/>
                <w:lang w:eastAsia="ko-KR"/>
              </w:rPr>
              <w:t>N</w:t>
            </w:r>
            <w:r>
              <w:rPr>
                <w:rFonts w:eastAsiaTheme="minorEastAsia" w:cs="Arial" w:hint="eastAsia"/>
                <w:lang w:eastAsia="ko-KR"/>
              </w:rPr>
              <w:t xml:space="preserve">etwork </w:t>
            </w:r>
            <w:r>
              <w:rPr>
                <w:rFonts w:eastAsiaTheme="minorEastAsia" w:cs="Arial"/>
                <w:lang w:eastAsia="ko-KR"/>
              </w:rPr>
              <w:t>energy efficiency</w:t>
            </w:r>
          </w:p>
        </w:tc>
        <w:tc>
          <w:tcPr>
            <w:tcW w:w="3798" w:type="dxa"/>
            <w:vAlign w:val="center"/>
          </w:tcPr>
          <w:p w14:paraId="6CF8735D" w14:textId="77777777" w:rsidR="00DC1ECF" w:rsidRPr="00E6664D" w:rsidRDefault="00DC1ECF" w:rsidP="001B40AA">
            <w:pPr>
              <w:pStyle w:val="TAH0"/>
              <w:jc w:val="both"/>
              <w:rPr>
                <w:rFonts w:cs="Arial"/>
                <w:b w:val="0"/>
              </w:rPr>
            </w:pPr>
            <w:r>
              <w:rPr>
                <w:rFonts w:eastAsiaTheme="minorEastAsia" w:cs="Arial"/>
                <w:b w:val="0"/>
                <w:lang w:eastAsia="ko-KR"/>
              </w:rPr>
              <w:t xml:space="preserve">via </w:t>
            </w:r>
            <w:r w:rsidRPr="00E6664D">
              <w:rPr>
                <w:rFonts w:eastAsiaTheme="minorEastAsia" w:cs="Arial" w:hint="eastAsia"/>
                <w:b w:val="0"/>
                <w:lang w:eastAsia="ko-KR"/>
              </w:rPr>
              <w:t>S</w:t>
            </w:r>
            <w:r w:rsidRPr="00E6664D">
              <w:rPr>
                <w:rFonts w:eastAsiaTheme="minorEastAsia" w:cs="Arial"/>
                <w:b w:val="0"/>
                <w:lang w:eastAsia="ko-KR"/>
              </w:rPr>
              <w:t>Cell activation/deactivation</w:t>
            </w:r>
          </w:p>
        </w:tc>
        <w:tc>
          <w:tcPr>
            <w:tcW w:w="3798" w:type="dxa"/>
            <w:vAlign w:val="center"/>
          </w:tcPr>
          <w:p w14:paraId="126EBA4A" w14:textId="77777777" w:rsidR="00DC1ECF" w:rsidRPr="006827FF" w:rsidRDefault="00DC1ECF" w:rsidP="001B40AA">
            <w:pPr>
              <w:pStyle w:val="TAH0"/>
              <w:jc w:val="both"/>
              <w:rPr>
                <w:rFonts w:eastAsiaTheme="minorEastAsia" w:cs="Arial"/>
                <w:b w:val="0"/>
                <w:lang w:eastAsia="ko-KR"/>
              </w:rPr>
            </w:pPr>
            <w:r>
              <w:rPr>
                <w:rFonts w:eastAsiaTheme="minorEastAsia" w:cs="Arial"/>
                <w:b w:val="0"/>
                <w:lang w:eastAsia="ko-KR"/>
              </w:rPr>
              <w:t>v</w:t>
            </w:r>
            <w:r>
              <w:rPr>
                <w:rFonts w:eastAsiaTheme="minorEastAsia" w:cs="Arial" w:hint="eastAsia"/>
                <w:b w:val="0"/>
                <w:lang w:eastAsia="ko-KR"/>
              </w:rPr>
              <w:t xml:space="preserve">ia </w:t>
            </w:r>
            <w:r>
              <w:rPr>
                <w:rFonts w:eastAsiaTheme="minorEastAsia" w:cs="Arial"/>
                <w:b w:val="0"/>
                <w:lang w:eastAsia="ko-KR"/>
              </w:rPr>
              <w:t>less signalling</w:t>
            </w:r>
          </w:p>
        </w:tc>
      </w:tr>
      <w:tr w:rsidR="00DC1ECF" w:rsidRPr="00E6664D" w14:paraId="033B23EC" w14:textId="77777777" w:rsidTr="001B40AA">
        <w:tc>
          <w:tcPr>
            <w:tcW w:w="2126" w:type="dxa"/>
            <w:vAlign w:val="center"/>
          </w:tcPr>
          <w:p w14:paraId="7B2AAE00" w14:textId="77777777" w:rsidR="00DC1ECF" w:rsidRDefault="00DC1ECF" w:rsidP="001B40AA">
            <w:pPr>
              <w:pStyle w:val="TAH0"/>
              <w:rPr>
                <w:rFonts w:eastAsiaTheme="minorEastAsia" w:cs="Arial"/>
                <w:lang w:eastAsia="ko-KR"/>
              </w:rPr>
            </w:pPr>
            <w:r>
              <w:rPr>
                <w:rFonts w:eastAsiaTheme="minorEastAsia" w:cs="Arial"/>
                <w:lang w:eastAsia="ko-KR"/>
              </w:rPr>
              <w:t>Signalling overhead</w:t>
            </w:r>
          </w:p>
        </w:tc>
        <w:tc>
          <w:tcPr>
            <w:tcW w:w="3798" w:type="dxa"/>
            <w:vAlign w:val="center"/>
          </w:tcPr>
          <w:p w14:paraId="2F623BE6" w14:textId="77777777" w:rsidR="00DC1ECF" w:rsidRPr="00E6664D" w:rsidRDefault="00DC1ECF" w:rsidP="001B40AA">
            <w:pPr>
              <w:pStyle w:val="TAH0"/>
              <w:jc w:val="both"/>
              <w:rPr>
                <w:rFonts w:eastAsiaTheme="minorEastAsia" w:cs="Arial"/>
                <w:b w:val="0"/>
                <w:lang w:eastAsia="ko-KR"/>
              </w:rPr>
            </w:pPr>
            <w:r>
              <w:rPr>
                <w:rFonts w:eastAsiaTheme="minorEastAsia" w:cs="Arial"/>
                <w:b w:val="0"/>
                <w:lang w:eastAsia="ko-KR"/>
              </w:rPr>
              <w:t>In proportion to the number of aggregated CCs (scheduling grant per CC, HARQ-ACK per CC)</w:t>
            </w:r>
          </w:p>
        </w:tc>
        <w:tc>
          <w:tcPr>
            <w:tcW w:w="3798" w:type="dxa"/>
            <w:vAlign w:val="center"/>
          </w:tcPr>
          <w:p w14:paraId="66A0B0CE" w14:textId="77777777" w:rsidR="00DC1ECF" w:rsidRDefault="00DC1ECF" w:rsidP="001B40AA">
            <w:pPr>
              <w:pStyle w:val="TAH0"/>
              <w:jc w:val="both"/>
              <w:rPr>
                <w:rFonts w:eastAsiaTheme="minorEastAsia" w:cs="Arial"/>
                <w:b w:val="0"/>
                <w:lang w:eastAsia="ko-KR"/>
              </w:rPr>
            </w:pPr>
            <w:r>
              <w:rPr>
                <w:rFonts w:eastAsiaTheme="minorEastAsia" w:cs="Arial"/>
                <w:b w:val="0"/>
                <w:lang w:eastAsia="ko-KR"/>
              </w:rPr>
              <w:t>Scheduling grant per wider single carrier</w:t>
            </w:r>
          </w:p>
          <w:p w14:paraId="3DABCF43" w14:textId="77777777" w:rsidR="00DC1ECF" w:rsidRPr="00E6664D" w:rsidRDefault="00DC1ECF" w:rsidP="001B40AA">
            <w:pPr>
              <w:pStyle w:val="TAH0"/>
              <w:jc w:val="both"/>
              <w:rPr>
                <w:rFonts w:cs="Arial"/>
                <w:b w:val="0"/>
              </w:rPr>
            </w:pPr>
            <w:r>
              <w:rPr>
                <w:rFonts w:eastAsiaTheme="minorEastAsia" w:cs="Arial"/>
                <w:b w:val="0"/>
                <w:lang w:eastAsia="ko-KR"/>
              </w:rPr>
              <w:t>HARQ-ACK per wider single carrier</w:t>
            </w:r>
          </w:p>
        </w:tc>
      </w:tr>
      <w:tr w:rsidR="00DC1ECF" w:rsidRPr="004C437A" w14:paraId="40E73A5B" w14:textId="77777777" w:rsidTr="001B40AA">
        <w:tc>
          <w:tcPr>
            <w:tcW w:w="2126" w:type="dxa"/>
            <w:vAlign w:val="center"/>
          </w:tcPr>
          <w:p w14:paraId="0EDDBB67" w14:textId="77777777" w:rsidR="00DC1ECF" w:rsidRDefault="00DC1ECF" w:rsidP="001B40AA">
            <w:pPr>
              <w:pStyle w:val="TAH0"/>
              <w:rPr>
                <w:rFonts w:eastAsiaTheme="minorEastAsia" w:cs="Arial"/>
                <w:lang w:eastAsia="ko-KR"/>
              </w:rPr>
            </w:pPr>
            <w:r>
              <w:rPr>
                <w:rFonts w:eastAsiaTheme="minorEastAsia" w:cs="Arial"/>
                <w:lang w:eastAsia="ko-KR"/>
              </w:rPr>
              <w:t>Contiguous/non-contiguous spectrum</w:t>
            </w:r>
          </w:p>
        </w:tc>
        <w:tc>
          <w:tcPr>
            <w:tcW w:w="3798" w:type="dxa"/>
            <w:vAlign w:val="center"/>
          </w:tcPr>
          <w:p w14:paraId="6B6B0767" w14:textId="77777777" w:rsidR="00DC1ECF" w:rsidRPr="00E6664D" w:rsidRDefault="00DC1ECF" w:rsidP="001B40AA">
            <w:pPr>
              <w:pStyle w:val="TAH0"/>
              <w:jc w:val="both"/>
              <w:rPr>
                <w:rFonts w:eastAsiaTheme="minorEastAsia" w:cs="Arial"/>
                <w:b w:val="0"/>
                <w:lang w:eastAsia="ko-KR"/>
              </w:rPr>
            </w:pPr>
            <w:r w:rsidRPr="00E6664D">
              <w:rPr>
                <w:rFonts w:eastAsiaTheme="minorEastAsia" w:cs="Arial"/>
                <w:b w:val="0"/>
                <w:lang w:eastAsia="ko-KR"/>
              </w:rPr>
              <w:t>Not limited to contiguous spectrum</w:t>
            </w:r>
          </w:p>
        </w:tc>
        <w:tc>
          <w:tcPr>
            <w:tcW w:w="3798" w:type="dxa"/>
            <w:vAlign w:val="center"/>
          </w:tcPr>
          <w:p w14:paraId="0407F8FA" w14:textId="77777777" w:rsidR="00DC1ECF" w:rsidRPr="004C437A" w:rsidRDefault="00DC1ECF" w:rsidP="001B40AA">
            <w:pPr>
              <w:pStyle w:val="TAH0"/>
              <w:jc w:val="both"/>
              <w:rPr>
                <w:rFonts w:eastAsiaTheme="minorEastAsia" w:cs="Arial"/>
                <w:b w:val="0"/>
                <w:lang w:eastAsia="ko-KR"/>
              </w:rPr>
            </w:pPr>
            <w:r>
              <w:rPr>
                <w:rFonts w:eastAsiaTheme="minorEastAsia" w:cs="Arial"/>
                <w:b w:val="0"/>
                <w:lang w:eastAsia="ko-KR"/>
              </w:rPr>
              <w:t>Contiguous spectrum only</w:t>
            </w:r>
          </w:p>
        </w:tc>
      </w:tr>
      <w:tr w:rsidR="00DC1ECF" w:rsidRPr="004C437A" w14:paraId="79B4ECA2" w14:textId="77777777" w:rsidTr="001B40AA">
        <w:tc>
          <w:tcPr>
            <w:tcW w:w="2126" w:type="dxa"/>
            <w:vAlign w:val="center"/>
          </w:tcPr>
          <w:p w14:paraId="01B67CFE" w14:textId="77777777" w:rsidR="00DC1ECF" w:rsidRDefault="00DC1ECF" w:rsidP="001B40AA">
            <w:pPr>
              <w:pStyle w:val="TAH0"/>
              <w:rPr>
                <w:rFonts w:eastAsiaTheme="minorEastAsia" w:cs="Arial"/>
                <w:lang w:eastAsia="ko-KR"/>
              </w:rPr>
            </w:pPr>
            <w:r>
              <w:rPr>
                <w:rFonts w:eastAsiaTheme="minorEastAsia" w:cs="Arial"/>
                <w:lang w:eastAsia="ko-KR"/>
              </w:rPr>
              <w:t>DL/UL asymmetry</w:t>
            </w:r>
          </w:p>
        </w:tc>
        <w:tc>
          <w:tcPr>
            <w:tcW w:w="3798" w:type="dxa"/>
            <w:vAlign w:val="center"/>
          </w:tcPr>
          <w:p w14:paraId="50E5DE22" w14:textId="77777777" w:rsidR="00DC1ECF" w:rsidRPr="00E6664D" w:rsidRDefault="00DC1ECF" w:rsidP="001B40AA">
            <w:pPr>
              <w:pStyle w:val="TAH0"/>
              <w:jc w:val="both"/>
              <w:rPr>
                <w:rFonts w:eastAsiaTheme="minorEastAsia" w:cs="Arial"/>
                <w:b w:val="0"/>
                <w:lang w:eastAsia="ko-KR"/>
              </w:rPr>
            </w:pPr>
            <w:r>
              <w:rPr>
                <w:rFonts w:eastAsiaTheme="minorEastAsia" w:cs="Arial"/>
                <w:b w:val="0"/>
                <w:lang w:eastAsia="ko-KR"/>
              </w:rPr>
              <w:t>via different number of CCs and different BW between DL and UL</w:t>
            </w:r>
          </w:p>
        </w:tc>
        <w:tc>
          <w:tcPr>
            <w:tcW w:w="3798" w:type="dxa"/>
            <w:vAlign w:val="center"/>
          </w:tcPr>
          <w:p w14:paraId="1D87B199" w14:textId="77777777" w:rsidR="00DC1ECF" w:rsidRPr="004C437A" w:rsidRDefault="00DC1ECF" w:rsidP="001B40AA">
            <w:pPr>
              <w:pStyle w:val="TAH0"/>
              <w:jc w:val="both"/>
              <w:rPr>
                <w:rFonts w:eastAsiaTheme="minorEastAsia" w:cs="Arial"/>
                <w:b w:val="0"/>
                <w:lang w:eastAsia="ko-KR"/>
              </w:rPr>
            </w:pPr>
            <w:r>
              <w:rPr>
                <w:rFonts w:eastAsiaTheme="minorEastAsia" w:cs="Arial"/>
                <w:b w:val="0"/>
                <w:lang w:eastAsia="ko-KR"/>
              </w:rPr>
              <w:t>via different BW between DL and UL</w:t>
            </w:r>
          </w:p>
        </w:tc>
      </w:tr>
      <w:tr w:rsidR="00DC1ECF" w:rsidRPr="004C437A" w14:paraId="6A891FD2" w14:textId="77777777" w:rsidTr="001B40AA">
        <w:tc>
          <w:tcPr>
            <w:tcW w:w="2126" w:type="dxa"/>
            <w:vAlign w:val="center"/>
          </w:tcPr>
          <w:p w14:paraId="2CE6E994" w14:textId="77777777" w:rsidR="00DC1ECF" w:rsidRDefault="00DC1ECF" w:rsidP="001B40AA">
            <w:pPr>
              <w:pStyle w:val="TAH0"/>
              <w:rPr>
                <w:rFonts w:eastAsiaTheme="minorEastAsia" w:cs="Arial"/>
                <w:lang w:eastAsia="ko-KR"/>
              </w:rPr>
            </w:pPr>
            <w:r>
              <w:rPr>
                <w:rFonts w:eastAsiaTheme="minorEastAsia" w:cs="Arial"/>
                <w:lang w:eastAsia="ko-KR"/>
              </w:rPr>
              <w:t>Other</w:t>
            </w:r>
          </w:p>
        </w:tc>
        <w:tc>
          <w:tcPr>
            <w:tcW w:w="3798" w:type="dxa"/>
            <w:vAlign w:val="center"/>
          </w:tcPr>
          <w:p w14:paraId="319BADCE" w14:textId="77777777" w:rsidR="00DC1ECF" w:rsidRPr="00E6664D" w:rsidRDefault="00DC1ECF" w:rsidP="001B40AA">
            <w:pPr>
              <w:pStyle w:val="TAH0"/>
              <w:jc w:val="both"/>
              <w:rPr>
                <w:rFonts w:eastAsiaTheme="minorEastAsia" w:cs="Arial"/>
                <w:b w:val="0"/>
                <w:lang w:eastAsia="ko-KR"/>
              </w:rPr>
            </w:pPr>
            <w:r>
              <w:rPr>
                <w:rFonts w:eastAsiaTheme="minorEastAsia" w:cs="Arial"/>
                <w:b w:val="0"/>
                <w:lang w:eastAsia="ko-KR"/>
              </w:rPr>
              <w:t>Requires l</w:t>
            </w:r>
            <w:r w:rsidRPr="00E6664D">
              <w:rPr>
                <w:rFonts w:eastAsiaTheme="minorEastAsia" w:cs="Arial"/>
                <w:b w:val="0"/>
                <w:lang w:eastAsia="ko-KR"/>
              </w:rPr>
              <w:t xml:space="preserve">arger </w:t>
            </w:r>
            <w:r>
              <w:rPr>
                <w:rFonts w:eastAsiaTheme="minorEastAsia" w:cs="Arial"/>
                <w:b w:val="0"/>
                <w:lang w:eastAsia="ko-KR"/>
              </w:rPr>
              <w:t xml:space="preserve">RF </w:t>
            </w:r>
            <w:r w:rsidRPr="00E6664D">
              <w:rPr>
                <w:rFonts w:eastAsiaTheme="minorEastAsia" w:cs="Arial"/>
                <w:b w:val="0"/>
                <w:lang w:eastAsia="ko-KR"/>
              </w:rPr>
              <w:t>standard efforts</w:t>
            </w:r>
            <w:r>
              <w:rPr>
                <w:rFonts w:eastAsiaTheme="minorEastAsia" w:cs="Arial"/>
                <w:b w:val="0"/>
                <w:lang w:eastAsia="ko-KR"/>
              </w:rPr>
              <w:t xml:space="preserve"> for each CA/DC band combination</w:t>
            </w:r>
          </w:p>
        </w:tc>
        <w:tc>
          <w:tcPr>
            <w:tcW w:w="3798" w:type="dxa"/>
            <w:vAlign w:val="center"/>
          </w:tcPr>
          <w:p w14:paraId="3C6785E9" w14:textId="77777777" w:rsidR="00DC1ECF" w:rsidRPr="004C437A" w:rsidRDefault="00DC1ECF" w:rsidP="001B40AA">
            <w:pPr>
              <w:pStyle w:val="TAH0"/>
              <w:jc w:val="both"/>
              <w:rPr>
                <w:rFonts w:cs="Arial"/>
                <w:b w:val="0"/>
              </w:rPr>
            </w:pPr>
            <w:r>
              <w:rPr>
                <w:rFonts w:cs="Arial"/>
                <w:b w:val="0"/>
              </w:rPr>
              <w:t>Implementation feasibility (RF, baseband) should be addressed</w:t>
            </w:r>
          </w:p>
        </w:tc>
      </w:tr>
    </w:tbl>
    <w:p w14:paraId="1F4AEC2E" w14:textId="77777777" w:rsidR="002958FD" w:rsidRPr="002958FD" w:rsidRDefault="002958FD" w:rsidP="00475EF9">
      <w:pPr>
        <w:rPr>
          <w:rFonts w:ascii="Arial" w:eastAsia="바탕" w:hAnsi="Arial"/>
          <w:vanish/>
          <w:sz w:val="24"/>
          <w:szCs w:val="32"/>
          <w:lang w:eastAsia="ko-KR"/>
        </w:rPr>
      </w:pPr>
    </w:p>
    <w:p w14:paraId="18535F47" w14:textId="77777777" w:rsidR="002958FD" w:rsidRPr="002958FD" w:rsidRDefault="002958FD" w:rsidP="00A417CA">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3FA8DDF5" w14:textId="3D5EA3DF" w:rsidR="00BA25A8" w:rsidRDefault="00BA25A8" w:rsidP="0057205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Bandwidth Configurations for Single Carrier Wideband Operations</w:t>
      </w:r>
    </w:p>
    <w:p w14:paraId="6D63A4F0" w14:textId="04E8BC1B" w:rsidR="00F24A76" w:rsidRDefault="00EC10A9" w:rsidP="00A417CA">
      <w:pPr>
        <w:spacing w:line="288" w:lineRule="auto"/>
        <w:jc w:val="both"/>
        <w:rPr>
          <w:b/>
        </w:rPr>
      </w:pPr>
      <w:r>
        <w:t xml:space="preserve">It is not necessary for a UE to always monitor a wide </w:t>
      </w:r>
      <w:r w:rsidR="00F24A76">
        <w:t>BW</w:t>
      </w:r>
      <w:r>
        <w:t xml:space="preserve"> and the single carrier </w:t>
      </w:r>
      <w:r w:rsidR="008717F4">
        <w:t xml:space="preserve">wideband </w:t>
      </w:r>
      <w:r>
        <w:t>operation can be accompanied by the 1</w:t>
      </w:r>
      <w:r w:rsidRPr="00753570">
        <w:rPr>
          <w:vertAlign w:val="superscript"/>
        </w:rPr>
        <w:t>st</w:t>
      </w:r>
      <w:r>
        <w:t xml:space="preserve"> RF and 2</w:t>
      </w:r>
      <w:r w:rsidRPr="00753570">
        <w:rPr>
          <w:vertAlign w:val="superscript"/>
        </w:rPr>
        <w:t>nd</w:t>
      </w:r>
      <w:r>
        <w:t xml:space="preserve"> RF BW operations/configurations to realize UE power savings (a main KPI for NR). Aspects to be </w:t>
      </w:r>
      <w:r>
        <w:lastRenderedPageBreak/>
        <w:t>considered when configuring the 1</w:t>
      </w:r>
      <w:r w:rsidRPr="00753570">
        <w:rPr>
          <w:vertAlign w:val="superscript"/>
        </w:rPr>
        <w:t>st</w:t>
      </w:r>
      <w:r>
        <w:t xml:space="preserve"> RF BW and 2</w:t>
      </w:r>
      <w:r w:rsidRPr="00753570">
        <w:rPr>
          <w:vertAlign w:val="superscript"/>
        </w:rPr>
        <w:t>nd</w:t>
      </w:r>
      <w:r>
        <w:t xml:space="preserve"> RF BW to a UE</w:t>
      </w:r>
      <w:r w:rsidR="002577B8">
        <w:t xml:space="preserve"> (from a downlink perspective)</w:t>
      </w:r>
      <w:r>
        <w:t xml:space="preserve"> are subsequently discussed.</w:t>
      </w:r>
    </w:p>
    <w:p w14:paraId="3B3F7EB9" w14:textId="77777777" w:rsidR="00A217DE" w:rsidRPr="00A217DE" w:rsidRDefault="00A217DE" w:rsidP="00A217DE">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64308208" w14:textId="77777777" w:rsidR="00A217DE" w:rsidRPr="00A217DE" w:rsidRDefault="00A217DE" w:rsidP="00A217DE">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22BB780F" w14:textId="0DED505C" w:rsidR="00F24A76" w:rsidRDefault="00F24A76" w:rsidP="00A217DE">
      <w:pPr>
        <w:pStyle w:val="2"/>
      </w:pPr>
      <w:r w:rsidRPr="00356D93">
        <w:t>1</w:t>
      </w:r>
      <w:r w:rsidRPr="00356D93">
        <w:rPr>
          <w:vertAlign w:val="superscript"/>
        </w:rPr>
        <w:t>st</w:t>
      </w:r>
      <w:r w:rsidRPr="00356D93">
        <w:t xml:space="preserve"> RF BW</w:t>
      </w:r>
    </w:p>
    <w:p w14:paraId="0CF9AE72" w14:textId="74034FBF" w:rsidR="00F24A76" w:rsidRDefault="00A93931" w:rsidP="00A417CA">
      <w:pPr>
        <w:spacing w:line="288" w:lineRule="auto"/>
        <w:jc w:val="both"/>
      </w:pPr>
      <w:r>
        <w:t>T</w:t>
      </w:r>
      <w:r w:rsidR="00F24A76">
        <w:t>he 1</w:t>
      </w:r>
      <w:r w:rsidR="00F24A76" w:rsidRPr="0097714B">
        <w:rPr>
          <w:vertAlign w:val="superscript"/>
        </w:rPr>
        <w:t>st</w:t>
      </w:r>
      <w:r w:rsidR="00F24A76">
        <w:t xml:space="preserve"> RF BW is configured for a connected mode UE</w:t>
      </w:r>
      <w:r w:rsidR="005745B8">
        <w:t xml:space="preserve"> and</w:t>
      </w:r>
      <w:r w:rsidR="00F24A76">
        <w:t xml:space="preserve"> </w:t>
      </w:r>
      <w:r w:rsidR="005745B8">
        <w:t>s</w:t>
      </w:r>
      <w:r>
        <w:t>upport</w:t>
      </w:r>
      <w:r w:rsidR="005745B8">
        <w:t>s</w:t>
      </w:r>
      <w:r>
        <w:t xml:space="preserve"> </w:t>
      </w:r>
      <w:r w:rsidR="005745B8">
        <w:t xml:space="preserve">at least </w:t>
      </w:r>
      <w:r>
        <w:t xml:space="preserve">NR-PDCCH and NR-PDSCH. Other usage cases, such as for CSI-RS, are not precluded. </w:t>
      </w:r>
      <w:r w:rsidR="00F24A76">
        <w:t>Depending on the use cases for the 1</w:t>
      </w:r>
      <w:r w:rsidR="00F24A76" w:rsidRPr="001D7F3B">
        <w:rPr>
          <w:vertAlign w:val="superscript"/>
        </w:rPr>
        <w:t>st</w:t>
      </w:r>
      <w:r w:rsidR="00F24A76">
        <w:t xml:space="preserve"> RF BW, its BW values can be defined. </w:t>
      </w:r>
    </w:p>
    <w:p w14:paraId="3786AA22" w14:textId="77777777" w:rsidR="00F24A76" w:rsidRDefault="00F24A76" w:rsidP="00A417CA">
      <w:pPr>
        <w:spacing w:after="60" w:line="288" w:lineRule="auto"/>
        <w:jc w:val="both"/>
      </w:pPr>
      <w:r>
        <w:t>The following are some of the purposes identified for the 1</w:t>
      </w:r>
      <w:r w:rsidRPr="007D12D7">
        <w:rPr>
          <w:vertAlign w:val="superscript"/>
        </w:rPr>
        <w:t>st</w:t>
      </w:r>
      <w:r>
        <w:t xml:space="preserve"> RF BW:</w:t>
      </w:r>
    </w:p>
    <w:p w14:paraId="44399A57" w14:textId="3F3B0C40" w:rsidR="00F24A76" w:rsidRDefault="00F24A76" w:rsidP="00A417CA">
      <w:pPr>
        <w:pStyle w:val="a4"/>
        <w:numPr>
          <w:ilvl w:val="0"/>
          <w:numId w:val="40"/>
        </w:numPr>
        <w:overflowPunct w:val="0"/>
        <w:autoSpaceDE w:val="0"/>
        <w:autoSpaceDN w:val="0"/>
        <w:adjustRightInd w:val="0"/>
        <w:spacing w:after="60" w:line="288" w:lineRule="auto"/>
        <w:ind w:leftChars="0"/>
        <w:contextualSpacing/>
        <w:jc w:val="both"/>
        <w:textAlignment w:val="baseline"/>
      </w:pPr>
      <w:r>
        <w:t xml:space="preserve">Monitor the UE common information (for RRC Connected UE’s) </w:t>
      </w:r>
    </w:p>
    <w:p w14:paraId="70E2DA16" w14:textId="77777777" w:rsidR="00F24A76" w:rsidRDefault="00F24A76" w:rsidP="00A417CA">
      <w:pPr>
        <w:pStyle w:val="a4"/>
        <w:numPr>
          <w:ilvl w:val="0"/>
          <w:numId w:val="40"/>
        </w:numPr>
        <w:overflowPunct w:val="0"/>
        <w:autoSpaceDE w:val="0"/>
        <w:autoSpaceDN w:val="0"/>
        <w:adjustRightInd w:val="0"/>
        <w:spacing w:after="60" w:line="288" w:lineRule="auto"/>
        <w:ind w:leftChars="0"/>
        <w:contextualSpacing/>
        <w:jc w:val="both"/>
        <w:textAlignment w:val="baseline"/>
      </w:pPr>
      <w:r>
        <w:t>Monitor the common per-beam information in above 6GHz systems</w:t>
      </w:r>
    </w:p>
    <w:p w14:paraId="49D58011" w14:textId="77777777" w:rsidR="00F24A76" w:rsidRDefault="00F24A76" w:rsidP="00A417CA">
      <w:pPr>
        <w:pStyle w:val="a4"/>
        <w:numPr>
          <w:ilvl w:val="0"/>
          <w:numId w:val="40"/>
        </w:numPr>
        <w:overflowPunct w:val="0"/>
        <w:autoSpaceDE w:val="0"/>
        <w:autoSpaceDN w:val="0"/>
        <w:adjustRightInd w:val="0"/>
        <w:spacing w:after="60" w:line="288" w:lineRule="auto"/>
        <w:ind w:leftChars="0"/>
        <w:contextualSpacing/>
        <w:jc w:val="both"/>
        <w:textAlignment w:val="baseline"/>
      </w:pPr>
      <w:r>
        <w:t>Monitor dedicated search spaces for UE specific configurations and to get configurations for the 2</w:t>
      </w:r>
      <w:r w:rsidRPr="007D12D7">
        <w:rPr>
          <w:vertAlign w:val="superscript"/>
        </w:rPr>
        <w:t>nd</w:t>
      </w:r>
      <w:r>
        <w:t xml:space="preserve"> RF BW (if needed)</w:t>
      </w:r>
    </w:p>
    <w:p w14:paraId="1E9EF29B" w14:textId="77777777" w:rsidR="00F24A76" w:rsidRDefault="00F24A76" w:rsidP="00A417CA">
      <w:pPr>
        <w:pStyle w:val="a4"/>
        <w:numPr>
          <w:ilvl w:val="0"/>
          <w:numId w:val="40"/>
        </w:numPr>
        <w:overflowPunct w:val="0"/>
        <w:autoSpaceDE w:val="0"/>
        <w:autoSpaceDN w:val="0"/>
        <w:adjustRightInd w:val="0"/>
        <w:spacing w:line="288" w:lineRule="auto"/>
        <w:ind w:leftChars="0"/>
        <w:contextualSpacing/>
        <w:jc w:val="both"/>
        <w:textAlignment w:val="baseline"/>
      </w:pPr>
      <w:r>
        <w:t xml:space="preserve">Support RRM measurements </w:t>
      </w:r>
      <w:r w:rsidRPr="00611500">
        <w:t>(as will be discussed shortly, this is needed if the RRM BW is inside the 1</w:t>
      </w:r>
      <w:r w:rsidRPr="00611500">
        <w:rPr>
          <w:vertAlign w:val="superscript"/>
        </w:rPr>
        <w:t>st</w:t>
      </w:r>
      <w:r w:rsidRPr="00611500">
        <w:t xml:space="preserve"> RF BW)</w:t>
      </w:r>
    </w:p>
    <w:p w14:paraId="52CDE366" w14:textId="77777777" w:rsidR="00F24A76" w:rsidRDefault="00F24A76" w:rsidP="00A417CA">
      <w:pPr>
        <w:spacing w:line="288" w:lineRule="auto"/>
        <w:jc w:val="both"/>
      </w:pPr>
      <w:r>
        <w:t xml:space="preserve">Therefore, – </w:t>
      </w:r>
    </w:p>
    <w:p w14:paraId="3F9997A5" w14:textId="77777777" w:rsidR="00F24A76" w:rsidRDefault="00F24A76" w:rsidP="00A417CA">
      <w:pPr>
        <w:pStyle w:val="a4"/>
        <w:numPr>
          <w:ilvl w:val="0"/>
          <w:numId w:val="41"/>
        </w:numPr>
        <w:overflowPunct w:val="0"/>
        <w:autoSpaceDE w:val="0"/>
        <w:autoSpaceDN w:val="0"/>
        <w:adjustRightInd w:val="0"/>
        <w:spacing w:line="288" w:lineRule="auto"/>
        <w:ind w:leftChars="0"/>
        <w:contextualSpacing/>
        <w:jc w:val="both"/>
        <w:textAlignment w:val="baseline"/>
      </w:pPr>
      <w:r>
        <w:t>Some part of the 1</w:t>
      </w:r>
      <w:r w:rsidRPr="00CB24BE">
        <w:rPr>
          <w:vertAlign w:val="superscript"/>
        </w:rPr>
        <w:t>st</w:t>
      </w:r>
      <w:r>
        <w:t xml:space="preserve"> RF BW can be UE specific </w:t>
      </w:r>
    </w:p>
    <w:p w14:paraId="025B7BBF" w14:textId="0BB82C1B" w:rsidR="00F24A76" w:rsidRDefault="00F24A76" w:rsidP="00A417CA">
      <w:pPr>
        <w:pStyle w:val="a4"/>
        <w:numPr>
          <w:ilvl w:val="0"/>
          <w:numId w:val="41"/>
        </w:numPr>
        <w:overflowPunct w:val="0"/>
        <w:autoSpaceDE w:val="0"/>
        <w:autoSpaceDN w:val="0"/>
        <w:adjustRightInd w:val="0"/>
        <w:spacing w:line="288" w:lineRule="auto"/>
        <w:ind w:leftChars="0"/>
        <w:contextualSpacing/>
        <w:jc w:val="both"/>
        <w:textAlignment w:val="baseline"/>
      </w:pPr>
      <w:r>
        <w:t>The 1</w:t>
      </w:r>
      <w:r w:rsidRPr="007A1F02">
        <w:rPr>
          <w:vertAlign w:val="superscript"/>
        </w:rPr>
        <w:t>st</w:t>
      </w:r>
      <w:r>
        <w:t xml:space="preserve"> RF BW can overlap with the RRM BW region</w:t>
      </w:r>
      <w:r w:rsidR="001F6298">
        <w:t xml:space="preserve"> i.e., the BW region which contains RS signals for RRM </w:t>
      </w:r>
      <w:r w:rsidR="00642A52">
        <w:t>measurements</w:t>
      </w:r>
    </w:p>
    <w:p w14:paraId="4535BEFE" w14:textId="77777777" w:rsidR="00F24A76" w:rsidRPr="00A417CA" w:rsidRDefault="00F24A76" w:rsidP="00A417CA">
      <w:pPr>
        <w:pStyle w:val="2"/>
        <w:numPr>
          <w:ilvl w:val="2"/>
          <w:numId w:val="1"/>
        </w:numPr>
        <w:jc w:val="both"/>
      </w:pPr>
      <w:r w:rsidRPr="00107117">
        <w:t>Flexible Configurations for several UEs</w:t>
      </w:r>
    </w:p>
    <w:p w14:paraId="39ECEF94" w14:textId="1D4D7FD3" w:rsidR="00F24A76" w:rsidRDefault="00F24A76" w:rsidP="00A417CA">
      <w:pPr>
        <w:pStyle w:val="ae"/>
        <w:spacing w:line="288" w:lineRule="auto"/>
      </w:pPr>
      <w:r>
        <w:t>The 1</w:t>
      </w:r>
      <w:r w:rsidRPr="001151FE">
        <w:rPr>
          <w:vertAlign w:val="superscript"/>
        </w:rPr>
        <w:t>st</w:t>
      </w:r>
      <w:r>
        <w:t xml:space="preserve"> RF BW should allow multiplexing of NR-PDCCH transmissions for a relatively large number of UEs. Therefore, the 1</w:t>
      </w:r>
      <w:r w:rsidRPr="00642EAF">
        <w:rPr>
          <w:vertAlign w:val="superscript"/>
        </w:rPr>
        <w:t>st</w:t>
      </w:r>
      <w:r>
        <w:t xml:space="preserve"> RF BW’s of UEs should overlap (i.e. have common parts for different UEs) in order for UEs to monitor UE-common information while also allowing some UE specific configurations. Specifically, if the location of the 1</w:t>
      </w:r>
      <w:r w:rsidRPr="004D2D05">
        <w:rPr>
          <w:vertAlign w:val="superscript"/>
        </w:rPr>
        <w:t>st</w:t>
      </w:r>
      <w:r>
        <w:t xml:space="preserve"> RF BW is common for all UEs, there is no flexibility for further UE-specific configurations. When locations for the 1</w:t>
      </w:r>
      <w:r w:rsidRPr="00796EF3">
        <w:rPr>
          <w:vertAlign w:val="superscript"/>
        </w:rPr>
        <w:t>st</w:t>
      </w:r>
      <w:r>
        <w:t xml:space="preserve"> RF BW are not identical among UEs, common control channel </w:t>
      </w:r>
      <w:r w:rsidRPr="00F92A29">
        <w:rPr>
          <w:rFonts w:eastAsia="SimSun"/>
          <w:lang w:eastAsia="zh-CN"/>
        </w:rPr>
        <w:t xml:space="preserve">information </w:t>
      </w:r>
      <w:r>
        <w:rPr>
          <w:rFonts w:eastAsia="SimSun"/>
          <w:lang w:eastAsia="zh-CN"/>
        </w:rPr>
        <w:t>may need to</w:t>
      </w:r>
      <w:r w:rsidRPr="00F92A29">
        <w:rPr>
          <w:rFonts w:eastAsia="SimSun"/>
          <w:lang w:eastAsia="zh-CN"/>
        </w:rPr>
        <w:t xml:space="preserve"> be duplicated in each UE-specific </w:t>
      </w:r>
      <w:r>
        <w:rPr>
          <w:rFonts w:eastAsia="SimSun"/>
          <w:lang w:eastAsia="zh-CN"/>
        </w:rPr>
        <w:t>BW</w:t>
      </w:r>
      <w:r w:rsidRPr="00F92A29">
        <w:rPr>
          <w:rFonts w:eastAsia="SimSun"/>
          <w:lang w:eastAsia="zh-CN"/>
        </w:rPr>
        <w:t>.</w:t>
      </w:r>
      <w:r>
        <w:rPr>
          <w:rFonts w:eastAsia="SimSun"/>
          <w:lang w:eastAsia="zh-CN"/>
        </w:rPr>
        <w:t xml:space="preserve"> The NW</w:t>
      </w:r>
      <w:r w:rsidRPr="00E90C67">
        <w:rPr>
          <w:rFonts w:eastAsia="SimSun"/>
          <w:lang w:eastAsia="zh-CN"/>
        </w:rPr>
        <w:t xml:space="preserve"> can </w:t>
      </w:r>
      <w:r>
        <w:rPr>
          <w:rFonts w:eastAsia="SimSun"/>
          <w:lang w:eastAsia="zh-CN"/>
        </w:rPr>
        <w:t>choose</w:t>
      </w:r>
      <w:r w:rsidRPr="00E90C67">
        <w:rPr>
          <w:rFonts w:eastAsia="SimSun"/>
          <w:lang w:eastAsia="zh-CN"/>
        </w:rPr>
        <w:t xml:space="preserve"> between these options and accordingly, </w:t>
      </w:r>
      <w:r w:rsidRPr="00E90C67">
        <w:t>some UEs may have a common part in their 1</w:t>
      </w:r>
      <w:r w:rsidRPr="00E90C67">
        <w:rPr>
          <w:vertAlign w:val="superscript"/>
        </w:rPr>
        <w:t>st</w:t>
      </w:r>
      <w:r w:rsidRPr="00E90C67">
        <w:t xml:space="preserve"> RF BW </w:t>
      </w:r>
      <w:r>
        <w:t>while</w:t>
      </w:r>
      <w:r w:rsidRPr="00E90C67">
        <w:t xml:space="preserve"> others may have dedicated location </w:t>
      </w:r>
      <w:r>
        <w:t>and duplicate</w:t>
      </w:r>
      <w:r w:rsidRPr="00E90C67">
        <w:t xml:space="preserve"> </w:t>
      </w:r>
      <w:r>
        <w:t>UE-</w:t>
      </w:r>
      <w:r w:rsidRPr="00E90C67">
        <w:t xml:space="preserve">common information. </w:t>
      </w:r>
    </w:p>
    <w:p w14:paraId="630EB638" w14:textId="6F850FB4" w:rsidR="00F24A76" w:rsidRDefault="00354A45" w:rsidP="00A417CA">
      <w:pPr>
        <w:pStyle w:val="ae"/>
        <w:spacing w:line="288" w:lineRule="auto"/>
        <w:rPr>
          <w:b/>
        </w:rPr>
      </w:pPr>
      <w:r w:rsidRPr="00A417CA">
        <w:rPr>
          <w:b/>
          <w:i/>
        </w:rPr>
        <w:t>Observation</w:t>
      </w:r>
      <w:r w:rsidR="00440468">
        <w:rPr>
          <w:b/>
          <w:i/>
        </w:rPr>
        <w:t xml:space="preserve"> </w:t>
      </w:r>
      <w:r w:rsidR="00807372">
        <w:rPr>
          <w:b/>
          <w:i/>
        </w:rPr>
        <w:t>4</w:t>
      </w:r>
      <w:r w:rsidR="00F24A76" w:rsidRPr="00A417CA">
        <w:rPr>
          <w:b/>
          <w:i/>
        </w:rPr>
        <w:t>: There is a trade</w:t>
      </w:r>
      <w:r w:rsidR="00ED4FD5" w:rsidRPr="00A417CA">
        <w:rPr>
          <w:b/>
          <w:i/>
        </w:rPr>
        <w:t xml:space="preserve"> </w:t>
      </w:r>
      <w:r w:rsidR="00F24A76" w:rsidRPr="00A417CA">
        <w:rPr>
          <w:b/>
          <w:i/>
        </w:rPr>
        <w:t>off in terms of flexibility and signal</w:t>
      </w:r>
      <w:r w:rsidR="00ED4FD5" w:rsidRPr="00A417CA">
        <w:rPr>
          <w:b/>
          <w:i/>
        </w:rPr>
        <w:t>l</w:t>
      </w:r>
      <w:r w:rsidR="00F24A76" w:rsidRPr="00A417CA">
        <w:rPr>
          <w:b/>
          <w:i/>
        </w:rPr>
        <w:t>ing overhead between a) sharing 1</w:t>
      </w:r>
      <w:r w:rsidR="00F24A76" w:rsidRPr="00A417CA">
        <w:rPr>
          <w:b/>
          <w:i/>
          <w:vertAlign w:val="superscript"/>
        </w:rPr>
        <w:t>st</w:t>
      </w:r>
      <w:r w:rsidR="00F24A76" w:rsidRPr="00A417CA">
        <w:rPr>
          <w:b/>
          <w:i/>
        </w:rPr>
        <w:t xml:space="preserve"> RF BW across UEs with a common location for monitoring UE-common information and b) dedicated 1</w:t>
      </w:r>
      <w:r w:rsidR="00F24A76" w:rsidRPr="00A417CA">
        <w:rPr>
          <w:b/>
          <w:i/>
          <w:vertAlign w:val="superscript"/>
        </w:rPr>
        <w:t>st</w:t>
      </w:r>
      <w:r w:rsidR="00F24A76" w:rsidRPr="00A417CA">
        <w:rPr>
          <w:b/>
          <w:i/>
        </w:rPr>
        <w:t xml:space="preserve"> RF BW location for some UEs and replication of UE-common information. </w:t>
      </w:r>
    </w:p>
    <w:p w14:paraId="1355F1C8" w14:textId="0EB813FA" w:rsidR="00F24A76" w:rsidRPr="00356D93" w:rsidRDefault="00F24A76" w:rsidP="00A417CA">
      <w:pPr>
        <w:pStyle w:val="2"/>
        <w:jc w:val="both"/>
      </w:pPr>
      <w:r w:rsidRPr="00356D93">
        <w:t>2</w:t>
      </w:r>
      <w:r w:rsidRPr="00356D93">
        <w:rPr>
          <w:vertAlign w:val="superscript"/>
        </w:rPr>
        <w:t>nd</w:t>
      </w:r>
      <w:r w:rsidRPr="00356D93">
        <w:t xml:space="preserve"> RF BW</w:t>
      </w:r>
    </w:p>
    <w:p w14:paraId="63294BCA" w14:textId="46244F44" w:rsidR="00F24A76" w:rsidRPr="00525533" w:rsidRDefault="00F24A76" w:rsidP="00A417CA">
      <w:pPr>
        <w:pStyle w:val="ae"/>
        <w:spacing w:line="288" w:lineRule="auto"/>
        <w:rPr>
          <w:color w:val="FF0000"/>
        </w:rPr>
      </w:pPr>
      <w:r>
        <w:t>Most of the issues identified for the case of 1</w:t>
      </w:r>
      <w:r w:rsidRPr="008F28B8">
        <w:rPr>
          <w:vertAlign w:val="superscript"/>
        </w:rPr>
        <w:t>st</w:t>
      </w:r>
      <w:r>
        <w:t xml:space="preserve"> RF BW also remain valid for the case of the 2</w:t>
      </w:r>
      <w:r w:rsidRPr="004076D3">
        <w:rPr>
          <w:vertAlign w:val="superscript"/>
        </w:rPr>
        <w:t>nd</w:t>
      </w:r>
      <w:r>
        <w:t xml:space="preserve"> RF BW. In addition, the size of the 2</w:t>
      </w:r>
      <w:r w:rsidRPr="00EE7DC7">
        <w:rPr>
          <w:vertAlign w:val="superscript"/>
        </w:rPr>
        <w:t>nd</w:t>
      </w:r>
      <w:r>
        <w:t xml:space="preserve"> RF BW can be UE specific and depend on a) the numerology used in a specific band, b) the data requirements for a UE. A gNB can configure a single carrier operating BW to a UE based on an indication by the UE of its </w:t>
      </w:r>
      <w:r w:rsidRPr="00055084">
        <w:t xml:space="preserve">capability regarding its hardware aspects such as </w:t>
      </w:r>
      <w:r>
        <w:t>RF BW</w:t>
      </w:r>
      <w:r w:rsidRPr="00055084">
        <w:t>.</w:t>
      </w:r>
      <w:r>
        <w:t xml:space="preserve"> T</w:t>
      </w:r>
      <w:r w:rsidRPr="00055084">
        <w:t xml:space="preserve">hese issues </w:t>
      </w:r>
      <w:r>
        <w:t>are</w:t>
      </w:r>
      <w:r w:rsidRPr="00055084">
        <w:t xml:space="preserve"> more prominent </w:t>
      </w:r>
      <w:r>
        <w:t>for</w:t>
      </w:r>
      <w:r w:rsidRPr="00055084">
        <w:t xml:space="preserve"> the 2</w:t>
      </w:r>
      <w:r w:rsidRPr="00055084">
        <w:rPr>
          <w:vertAlign w:val="superscript"/>
        </w:rPr>
        <w:t>nd</w:t>
      </w:r>
      <w:r w:rsidRPr="00055084">
        <w:t xml:space="preserve"> RF BW as it is considered to be much wider than the 1</w:t>
      </w:r>
      <w:r w:rsidRPr="00055084">
        <w:rPr>
          <w:vertAlign w:val="superscript"/>
        </w:rPr>
        <w:t>st</w:t>
      </w:r>
      <w:r w:rsidRPr="00055084">
        <w:t xml:space="preserve"> RF BW and extra emphasis is </w:t>
      </w:r>
      <w:r>
        <w:t>necessary</w:t>
      </w:r>
      <w:r w:rsidRPr="00055084">
        <w:t xml:space="preserve"> on the </w:t>
      </w:r>
      <w:r>
        <w:t>configuration</w:t>
      </w:r>
      <w:r w:rsidRPr="00055084">
        <w:t xml:space="preserve"> of the 2</w:t>
      </w:r>
      <w:r w:rsidRPr="00055084">
        <w:rPr>
          <w:vertAlign w:val="superscript"/>
        </w:rPr>
        <w:t>nd</w:t>
      </w:r>
      <w:r w:rsidRPr="00055084">
        <w:t xml:space="preserve"> RF BW </w:t>
      </w:r>
      <w:r>
        <w:t>region</w:t>
      </w:r>
      <w:r w:rsidRPr="00055084">
        <w:t>.</w:t>
      </w:r>
    </w:p>
    <w:p w14:paraId="424D5ED2" w14:textId="5EB8598F" w:rsidR="00F24A76" w:rsidRPr="00A417CA" w:rsidRDefault="00354A45" w:rsidP="00A417CA">
      <w:pPr>
        <w:pStyle w:val="ae"/>
        <w:spacing w:line="288" w:lineRule="auto"/>
        <w:rPr>
          <w:b/>
          <w:i/>
        </w:rPr>
      </w:pPr>
      <w:r w:rsidRPr="00A417CA">
        <w:rPr>
          <w:b/>
          <w:i/>
        </w:rPr>
        <w:t>Observation</w:t>
      </w:r>
      <w:r w:rsidR="00440468">
        <w:rPr>
          <w:b/>
          <w:i/>
        </w:rPr>
        <w:t xml:space="preserve"> </w:t>
      </w:r>
      <w:r w:rsidR="00807372">
        <w:rPr>
          <w:b/>
          <w:i/>
        </w:rPr>
        <w:t>5</w:t>
      </w:r>
      <w:r w:rsidR="00F24A76" w:rsidRPr="00A417CA">
        <w:rPr>
          <w:b/>
          <w:i/>
        </w:rPr>
        <w:t>: UE hardware aspects, such as RF BW, and the numerology in a given frequency band are important factors in determining a BW that can supported for single-carrier operation on the 2</w:t>
      </w:r>
      <w:r w:rsidR="00F24A76" w:rsidRPr="00A417CA">
        <w:rPr>
          <w:b/>
          <w:i/>
          <w:vertAlign w:val="superscript"/>
        </w:rPr>
        <w:t>nd</w:t>
      </w:r>
      <w:r w:rsidR="00F24A76" w:rsidRPr="00A417CA">
        <w:rPr>
          <w:b/>
          <w:i/>
        </w:rPr>
        <w:t xml:space="preserve"> RF BW.</w:t>
      </w:r>
    </w:p>
    <w:p w14:paraId="092DFE72" w14:textId="77777777" w:rsidR="007122A6" w:rsidRDefault="007122A6" w:rsidP="007122A6">
      <w:pPr>
        <w:pStyle w:val="2"/>
        <w:jc w:val="both"/>
      </w:pPr>
      <w:r>
        <w:t>RRM BW</w:t>
      </w:r>
    </w:p>
    <w:p w14:paraId="44871A47" w14:textId="1EB6E1A4" w:rsidR="007122A6" w:rsidRPr="0050484C" w:rsidRDefault="007122A6" w:rsidP="007122A6">
      <w:pPr>
        <w:spacing w:line="288" w:lineRule="auto"/>
        <w:jc w:val="both"/>
        <w:rPr>
          <w:rFonts w:cs="v4.2.0"/>
        </w:rPr>
      </w:pPr>
      <w:r>
        <w:t xml:space="preserve">The RRM BW is </w:t>
      </w:r>
      <w:r w:rsidR="00C75265">
        <w:t>used</w:t>
      </w:r>
      <w:r>
        <w:t xml:space="preserve"> for performing RRM measurements (for e.g. handover purposes, cell measurements). </w:t>
      </w:r>
      <w:r w:rsidR="00647C6C" w:rsidRPr="00E47EF1">
        <w:rPr>
          <w:rFonts w:eastAsia="MS Mincho"/>
          <w:lang w:eastAsia="ja-JP"/>
        </w:rPr>
        <w:t>At least NR secondary synchronization signal (NR-SSS) is used for DL based RRM measurement for L3 mobility</w:t>
      </w:r>
      <w:r w:rsidR="00647C6C">
        <w:rPr>
          <w:rFonts w:eastAsia="MS Mincho"/>
          <w:lang w:eastAsia="ja-JP"/>
        </w:rPr>
        <w:t xml:space="preserve"> in IDLE mode. </w:t>
      </w:r>
      <w:r w:rsidR="00647C6C" w:rsidRPr="00E47EF1">
        <w:rPr>
          <w:rFonts w:eastAsia="MS Mincho"/>
          <w:lang w:val="en-US" w:eastAsia="ja-JP"/>
        </w:rPr>
        <w:t>F</w:t>
      </w:r>
      <w:r w:rsidR="00647C6C" w:rsidRPr="00E47EF1">
        <w:rPr>
          <w:rFonts w:eastAsia="MS Mincho"/>
          <w:lang w:val="x-none" w:eastAsia="ja-JP"/>
        </w:rPr>
        <w:t xml:space="preserve">or </w:t>
      </w:r>
      <w:r w:rsidR="00647C6C" w:rsidRPr="00E47EF1">
        <w:rPr>
          <w:rFonts w:eastAsia="MS Mincho"/>
          <w:lang w:val="en-US" w:eastAsia="ja-JP"/>
        </w:rPr>
        <w:t xml:space="preserve">CONNECTED mode </w:t>
      </w:r>
      <w:r w:rsidR="00647C6C" w:rsidRPr="00E47EF1">
        <w:rPr>
          <w:rFonts w:eastAsia="MS Mincho"/>
          <w:lang w:val="x-none" w:eastAsia="ja-JP"/>
        </w:rPr>
        <w:t xml:space="preserve">RRM measurement </w:t>
      </w:r>
      <w:r w:rsidR="00647C6C" w:rsidRPr="00E47EF1">
        <w:rPr>
          <w:rFonts w:eastAsia="MS Mincho"/>
          <w:lang w:val="en-US" w:eastAsia="ja-JP"/>
        </w:rPr>
        <w:t>for L3 mobility, CSI-RS can be used, in addition to IDLE mode RS</w:t>
      </w:r>
      <w:r w:rsidR="00647C6C">
        <w:rPr>
          <w:rFonts w:eastAsia="MS Mincho"/>
          <w:lang w:val="en-US" w:eastAsia="ja-JP"/>
        </w:rPr>
        <w:t>.</w:t>
      </w:r>
      <w:r w:rsidR="00647C6C" w:rsidRPr="00E47EF1">
        <w:rPr>
          <w:rFonts w:eastAsia="MS Mincho"/>
          <w:lang w:eastAsia="ja-JP"/>
        </w:rPr>
        <w:t xml:space="preserve"> </w:t>
      </w:r>
      <w:r>
        <w:t xml:space="preserve">Therefore, the RRM BW </w:t>
      </w:r>
      <w:r w:rsidR="003A111E">
        <w:t xml:space="preserve">is determined by either </w:t>
      </w:r>
      <w:r w:rsidR="00647C6C">
        <w:t>NR-SSS</w:t>
      </w:r>
      <w:r>
        <w:t xml:space="preserve"> </w:t>
      </w:r>
      <w:r w:rsidR="00647C6C">
        <w:t xml:space="preserve">transmission bandwidth </w:t>
      </w:r>
      <w:r>
        <w:t xml:space="preserve">or </w:t>
      </w:r>
      <w:r w:rsidR="003A111E">
        <w:t>CSI-RS</w:t>
      </w:r>
      <w:r w:rsidR="00647C6C">
        <w:t xml:space="preserve"> transmission bandwidth</w:t>
      </w:r>
      <w:r>
        <w:t xml:space="preserve">. </w:t>
      </w:r>
    </w:p>
    <w:p w14:paraId="0E07FED9" w14:textId="2A89FA3D" w:rsidR="007122A6" w:rsidRPr="00A417CA" w:rsidRDefault="007122A6" w:rsidP="007122A6">
      <w:pPr>
        <w:pStyle w:val="ae"/>
        <w:spacing w:line="288" w:lineRule="auto"/>
        <w:rPr>
          <w:b/>
          <w:i/>
        </w:rPr>
      </w:pPr>
      <w:r w:rsidRPr="00A417CA">
        <w:rPr>
          <w:b/>
          <w:i/>
        </w:rPr>
        <w:t>Observation</w:t>
      </w:r>
      <w:r w:rsidR="00440468">
        <w:rPr>
          <w:b/>
          <w:i/>
        </w:rPr>
        <w:t xml:space="preserve"> </w:t>
      </w:r>
      <w:r w:rsidR="00807372">
        <w:rPr>
          <w:b/>
          <w:i/>
        </w:rPr>
        <w:t>6</w:t>
      </w:r>
      <w:r w:rsidRPr="00A417CA">
        <w:rPr>
          <w:b/>
          <w:i/>
        </w:rPr>
        <w:t xml:space="preserve">: RRM BW </w:t>
      </w:r>
      <w:r w:rsidR="005A5BF9">
        <w:rPr>
          <w:b/>
          <w:i/>
        </w:rPr>
        <w:t xml:space="preserve">is </w:t>
      </w:r>
      <w:r w:rsidR="005A5BF9" w:rsidRPr="005A5BF9">
        <w:rPr>
          <w:b/>
          <w:i/>
        </w:rPr>
        <w:t>determined by either NR-SSS transmission bandwidth or CSI-RS transmission bandwidth.</w:t>
      </w:r>
    </w:p>
    <w:p w14:paraId="63C87145" w14:textId="3E173F1C" w:rsidR="007122A6" w:rsidRDefault="007122A6" w:rsidP="007122A6">
      <w:pPr>
        <w:pStyle w:val="ae"/>
        <w:spacing w:line="288" w:lineRule="auto"/>
      </w:pPr>
      <w:r>
        <w:lastRenderedPageBreak/>
        <w:t>It is generally desirable to avoid having a UE to re-tune in order to perform inter-cell measurements. This will also require some network coordination where the gNB indicates to UEs the RRM BW for adjacent cells. It is therefore beneficial if RRM measurements are performed over the BW that should preferably be common among cells [</w:t>
      </w:r>
      <w:r w:rsidR="00C8357F">
        <w:t>2</w:t>
      </w:r>
      <w:r>
        <w:t xml:space="preserve">]. </w:t>
      </w:r>
    </w:p>
    <w:p w14:paraId="756D9D07" w14:textId="0A51B51B" w:rsidR="007122A6" w:rsidRPr="00A417CA" w:rsidRDefault="007122A6" w:rsidP="00A417CA">
      <w:pPr>
        <w:pStyle w:val="ae"/>
        <w:spacing w:line="288" w:lineRule="auto"/>
        <w:rPr>
          <w:b/>
          <w:i/>
        </w:rPr>
      </w:pPr>
      <w:r w:rsidRPr="00A417CA">
        <w:rPr>
          <w:b/>
          <w:i/>
        </w:rPr>
        <w:t>Proposal</w:t>
      </w:r>
      <w:r w:rsidR="00440468">
        <w:rPr>
          <w:b/>
          <w:i/>
        </w:rPr>
        <w:t xml:space="preserve"> </w:t>
      </w:r>
      <w:r w:rsidR="00807372">
        <w:rPr>
          <w:b/>
          <w:i/>
        </w:rPr>
        <w:t>1</w:t>
      </w:r>
      <w:r w:rsidRPr="00A417CA">
        <w:rPr>
          <w:b/>
          <w:i/>
        </w:rPr>
        <w:t>: UE shall be able to assume cell-common RRM BW configurations across cells, for inter-cell measurement.</w:t>
      </w:r>
    </w:p>
    <w:p w14:paraId="17BBCD18" w14:textId="29AB6029" w:rsidR="007122A6" w:rsidRDefault="007122A6" w:rsidP="007122A6">
      <w:pPr>
        <w:pStyle w:val="2"/>
        <w:numPr>
          <w:ilvl w:val="2"/>
          <w:numId w:val="1"/>
        </w:numPr>
        <w:jc w:val="both"/>
      </w:pPr>
      <w:r w:rsidRPr="00567C62">
        <w:t>RRM considerations for 1</w:t>
      </w:r>
      <w:r w:rsidRPr="00567C62">
        <w:rPr>
          <w:vertAlign w:val="superscript"/>
        </w:rPr>
        <w:t>st</w:t>
      </w:r>
      <w:r w:rsidRPr="00567C62">
        <w:t xml:space="preserve"> RF BW</w:t>
      </w:r>
      <w:r w:rsidR="00E83E51">
        <w:t xml:space="preserve"> and 2</w:t>
      </w:r>
      <w:r w:rsidR="00E83E51" w:rsidRPr="00A417CA">
        <w:rPr>
          <w:vertAlign w:val="superscript"/>
        </w:rPr>
        <w:t>nd</w:t>
      </w:r>
      <w:r w:rsidR="00E83E51">
        <w:t xml:space="preserve"> RF BW</w:t>
      </w:r>
    </w:p>
    <w:p w14:paraId="47EA8C65" w14:textId="2B7D1A28" w:rsidR="00A04D90" w:rsidRPr="003F02E9" w:rsidRDefault="00A04D90" w:rsidP="00A417CA">
      <w:r>
        <w:rPr>
          <w:lang w:eastAsia="ko-KR"/>
        </w:rPr>
        <w:t xml:space="preserve">The RRM considerations </w:t>
      </w:r>
      <w:r w:rsidR="00FE3733">
        <w:rPr>
          <w:lang w:eastAsia="ko-KR"/>
        </w:rPr>
        <w:t xml:space="preserve">discussed below holds true </w:t>
      </w:r>
      <w:r>
        <w:rPr>
          <w:lang w:eastAsia="ko-KR"/>
        </w:rPr>
        <w:t xml:space="preserve">for </w:t>
      </w:r>
      <w:r w:rsidR="00FE3733">
        <w:rPr>
          <w:lang w:eastAsia="ko-KR"/>
        </w:rPr>
        <w:t xml:space="preserve">both </w:t>
      </w:r>
      <w:r>
        <w:rPr>
          <w:lang w:eastAsia="ko-KR"/>
        </w:rPr>
        <w:t>the 1</w:t>
      </w:r>
      <w:r w:rsidRPr="00A417CA">
        <w:rPr>
          <w:vertAlign w:val="superscript"/>
          <w:lang w:eastAsia="ko-KR"/>
        </w:rPr>
        <w:t>st</w:t>
      </w:r>
      <w:r>
        <w:rPr>
          <w:lang w:eastAsia="ko-KR"/>
        </w:rPr>
        <w:t xml:space="preserve"> RF and 2</w:t>
      </w:r>
      <w:r w:rsidRPr="00A417CA">
        <w:rPr>
          <w:vertAlign w:val="superscript"/>
          <w:lang w:eastAsia="ko-KR"/>
        </w:rPr>
        <w:t>nd</w:t>
      </w:r>
      <w:r>
        <w:rPr>
          <w:lang w:eastAsia="ko-KR"/>
        </w:rPr>
        <w:t xml:space="preserve"> RF BW</w:t>
      </w:r>
      <w:r w:rsidR="00FE3733">
        <w:rPr>
          <w:lang w:eastAsia="ko-KR"/>
        </w:rPr>
        <w:t xml:space="preserve"> design</w:t>
      </w:r>
      <w:r w:rsidR="00C46FE3">
        <w:rPr>
          <w:lang w:eastAsia="ko-KR"/>
        </w:rPr>
        <w:t xml:space="preserve">. Hence, </w:t>
      </w:r>
      <w:r>
        <w:rPr>
          <w:lang w:eastAsia="ko-KR"/>
        </w:rPr>
        <w:t>we will discuss the issues in the context of 1</w:t>
      </w:r>
      <w:r w:rsidRPr="00A417CA">
        <w:rPr>
          <w:vertAlign w:val="superscript"/>
          <w:lang w:eastAsia="ko-KR"/>
        </w:rPr>
        <w:t>st</w:t>
      </w:r>
      <w:r>
        <w:rPr>
          <w:lang w:eastAsia="ko-KR"/>
        </w:rPr>
        <w:t xml:space="preserve"> RF BW for ease of exposition. </w:t>
      </w:r>
    </w:p>
    <w:p w14:paraId="1AB7C6EC" w14:textId="6C96EA4C" w:rsidR="007122A6" w:rsidRDefault="007122A6" w:rsidP="007122A6">
      <w:pPr>
        <w:pStyle w:val="ae"/>
        <w:spacing w:line="288" w:lineRule="auto"/>
      </w:pPr>
      <w:r>
        <w:t>For RRM measurements when a UE is using the 1</w:t>
      </w:r>
      <w:r w:rsidRPr="00DF77EC">
        <w:rPr>
          <w:vertAlign w:val="superscript"/>
        </w:rPr>
        <w:t>st</w:t>
      </w:r>
      <w:r>
        <w:t xml:space="preserve"> RF BW, the following options exist: (i) RS for RRM is inside the 1</w:t>
      </w:r>
      <w:r w:rsidRPr="006121EB">
        <w:rPr>
          <w:vertAlign w:val="superscript"/>
        </w:rPr>
        <w:t>st</w:t>
      </w:r>
      <w:r>
        <w:t xml:space="preserve"> RF BW, (ii) RS for RRM is separate</w:t>
      </w:r>
      <w:r w:rsidR="009F1D5B">
        <w:t>d</w:t>
      </w:r>
      <w:r>
        <w:t xml:space="preserve"> from the 1</w:t>
      </w:r>
      <w:r w:rsidRPr="006121EB">
        <w:rPr>
          <w:vertAlign w:val="superscript"/>
        </w:rPr>
        <w:t>st</w:t>
      </w:r>
      <w:r>
        <w:t xml:space="preserve"> RF BW, and (iii) new RS for RRM inside the 1</w:t>
      </w:r>
      <w:r w:rsidRPr="008E7A9D">
        <w:rPr>
          <w:vertAlign w:val="superscript"/>
        </w:rPr>
        <w:t>st</w:t>
      </w:r>
      <w:r>
        <w:t xml:space="preserve"> RF BW for measurement purposes. </w:t>
      </w:r>
    </w:p>
    <w:p w14:paraId="1756FDDD" w14:textId="4441D2F5" w:rsidR="007122A6" w:rsidRDefault="007122A6" w:rsidP="007122A6">
      <w:pPr>
        <w:pStyle w:val="ae"/>
        <w:spacing w:line="288" w:lineRule="auto"/>
      </w:pPr>
      <w:r>
        <w:t>For option (i), the 1</w:t>
      </w:r>
      <w:r w:rsidRPr="009E365C">
        <w:rPr>
          <w:vertAlign w:val="superscript"/>
        </w:rPr>
        <w:t>st</w:t>
      </w:r>
      <w:r>
        <w:t xml:space="preserve"> RF BW of </w:t>
      </w:r>
      <w:r w:rsidR="006250CA">
        <w:t xml:space="preserve">all </w:t>
      </w:r>
      <w:r>
        <w:t xml:space="preserve">UEs </w:t>
      </w:r>
      <w:r w:rsidR="00CE758E">
        <w:t xml:space="preserve">will contain the RS used for RRM purposes. </w:t>
      </w:r>
      <w:r w:rsidR="006F0DDF">
        <w:t>This can happen in the following ways – a) when sync signals are used for the RRM purposes, then the 1</w:t>
      </w:r>
      <w:r w:rsidR="006F0DDF" w:rsidRPr="00A417CA">
        <w:rPr>
          <w:vertAlign w:val="superscript"/>
        </w:rPr>
        <w:t>st</w:t>
      </w:r>
      <w:r w:rsidR="006F0DDF">
        <w:t xml:space="preserve"> RF BW of all UEs must contain this BW</w:t>
      </w:r>
      <w:r w:rsidR="004D61AA">
        <w:t xml:space="preserve">, and b) </w:t>
      </w:r>
      <w:r>
        <w:t>when the RRM BW spans the entire BW</w:t>
      </w:r>
      <w:r w:rsidR="00240A8C">
        <w:t xml:space="preserve"> (as in the case of wideband RS</w:t>
      </w:r>
      <w:r w:rsidR="00E678A6" w:rsidRPr="00E678A6">
        <w:t xml:space="preserve"> </w:t>
      </w:r>
      <w:r w:rsidR="00E678A6" w:rsidRPr="004B4C03">
        <w:rPr>
          <w:rFonts w:ascii="Times New Roman" w:eastAsia="맑은 고딕" w:hAnsi="Times New Roman"/>
          <w:szCs w:val="20"/>
          <w:lang w:val="en-US" w:eastAsia="ko-KR"/>
        </w:rPr>
        <w:t>such as cell-specific wideband CSI-RS</w:t>
      </w:r>
      <w:r w:rsidR="00240A8C">
        <w:t>)</w:t>
      </w:r>
      <w:r>
        <w:t>, then there are RRM signals present inside the UE’s 1</w:t>
      </w:r>
      <w:r w:rsidRPr="00FA056B">
        <w:rPr>
          <w:vertAlign w:val="superscript"/>
        </w:rPr>
        <w:t>st</w:t>
      </w:r>
      <w:r>
        <w:t xml:space="preserve"> RF BW </w:t>
      </w:r>
      <w:r w:rsidR="00984CC4">
        <w:t xml:space="preserve">(wherever it is located) </w:t>
      </w:r>
      <w:r>
        <w:t xml:space="preserve">that </w:t>
      </w:r>
      <w:r w:rsidR="00984CC4">
        <w:t>can be used for</w:t>
      </w:r>
      <w:r>
        <w:t xml:space="preserve"> RRM measurements. For </w:t>
      </w:r>
      <w:r w:rsidR="00BF3410">
        <w:t xml:space="preserve">both </w:t>
      </w:r>
      <w:r>
        <w:t>these cases no new configurations are needed from the NW side for configuring the 1</w:t>
      </w:r>
      <w:r w:rsidRPr="00CB0710">
        <w:rPr>
          <w:vertAlign w:val="superscript"/>
        </w:rPr>
        <w:t>st</w:t>
      </w:r>
      <w:r>
        <w:t xml:space="preserve"> RF BW for RRM measurements. However, </w:t>
      </w:r>
      <w:r w:rsidR="000E58A0">
        <w:t xml:space="preserve">note that </w:t>
      </w:r>
      <w:r>
        <w:t xml:space="preserve">when the RRM BW is the same as the sync BW (as mentioned earlier, when </w:t>
      </w:r>
      <w:r w:rsidR="00261970">
        <w:t>sync signals</w:t>
      </w:r>
      <w:r>
        <w:t xml:space="preserve"> </w:t>
      </w:r>
      <w:r w:rsidR="00261970">
        <w:t>are</w:t>
      </w:r>
      <w:r>
        <w:t xml:space="preserve"> used for RRM measurements), then the network has to configure the 1</w:t>
      </w:r>
      <w:r w:rsidRPr="009E365C">
        <w:rPr>
          <w:vertAlign w:val="superscript"/>
        </w:rPr>
        <w:t>st</w:t>
      </w:r>
      <w:r>
        <w:t xml:space="preserve"> RF BW for all UEs to overlap with the RRM BW region which can limit the ability to flexibly configure the 1</w:t>
      </w:r>
      <w:r w:rsidRPr="00C15F42">
        <w:rPr>
          <w:vertAlign w:val="superscript"/>
        </w:rPr>
        <w:t>st</w:t>
      </w:r>
      <w:r>
        <w:t xml:space="preserve"> RF BW to UEs. </w:t>
      </w:r>
    </w:p>
    <w:p w14:paraId="7F55CE9D" w14:textId="2C46D8F9" w:rsidR="007122A6" w:rsidRDefault="007122A6" w:rsidP="007122A6">
      <w:pPr>
        <w:pStyle w:val="ae"/>
        <w:spacing w:line="288" w:lineRule="auto"/>
      </w:pPr>
      <w:r>
        <w:t xml:space="preserve">For option (ii), the </w:t>
      </w:r>
      <w:r w:rsidR="00AC5B25">
        <w:t>RRM signals used for RRM purposes are separated from the 1</w:t>
      </w:r>
      <w:r w:rsidR="00AC5B25" w:rsidRPr="00A417CA">
        <w:rPr>
          <w:vertAlign w:val="superscript"/>
        </w:rPr>
        <w:t>st</w:t>
      </w:r>
      <w:r w:rsidR="00AC5B25">
        <w:t xml:space="preserve"> RF BW</w:t>
      </w:r>
      <w:r>
        <w:t xml:space="preserve">. This case occurs when the RRM </w:t>
      </w:r>
      <w:r w:rsidR="00842067">
        <w:t>measurements are performed using the sync signals</w:t>
      </w:r>
      <w:r>
        <w:t>. In such a setting, the NW can configure measurement gaps while accounting for a re-tuning delay necessary for a UE to switch its RF from 1</w:t>
      </w:r>
      <w:r w:rsidRPr="009E365C">
        <w:rPr>
          <w:vertAlign w:val="superscript"/>
        </w:rPr>
        <w:t>st</w:t>
      </w:r>
      <w:r>
        <w:t xml:space="preserve"> RF BW region to the RRM BW region. This can increase the burden on the NW side and also increases the power consumption at the UE due to this frequent re-tuning.</w:t>
      </w:r>
    </w:p>
    <w:p w14:paraId="19E45A3E" w14:textId="2BF08813" w:rsidR="007122A6" w:rsidRDefault="007122A6" w:rsidP="007122A6">
      <w:pPr>
        <w:pStyle w:val="ae"/>
        <w:spacing w:line="288" w:lineRule="auto"/>
      </w:pPr>
      <w:r>
        <w:t>For option (iii), UE re-tuning is avoided but the NW needs to provide new RS for measurements (measurement RS) inside each 1</w:t>
      </w:r>
      <w:r w:rsidRPr="00175544">
        <w:rPr>
          <w:vertAlign w:val="superscript"/>
        </w:rPr>
        <w:t>st</w:t>
      </w:r>
      <w:r>
        <w:t xml:space="preserve"> RF BW region. This option increases the signa</w:t>
      </w:r>
      <w:r w:rsidR="00086FAA">
        <w:t>l</w:t>
      </w:r>
      <w:r>
        <w:t xml:space="preserve">ling overhead. </w:t>
      </w:r>
    </w:p>
    <w:p w14:paraId="6866C414" w14:textId="46FFD77A" w:rsidR="007122A6" w:rsidRPr="00432624" w:rsidRDefault="007122A6" w:rsidP="007122A6">
      <w:pPr>
        <w:pStyle w:val="ae"/>
        <w:spacing w:line="288" w:lineRule="auto"/>
      </w:pPr>
      <w:r w:rsidRPr="00432624">
        <w:t xml:space="preserve">Considering the above options and </w:t>
      </w:r>
      <w:r>
        <w:t xml:space="preserve">associated </w:t>
      </w:r>
      <w:r w:rsidR="007A2D74" w:rsidRPr="00432624">
        <w:t>trade-offs</w:t>
      </w:r>
      <w:r w:rsidRPr="00432624">
        <w:t xml:space="preserve">, </w:t>
      </w:r>
      <w:r>
        <w:t>option (iii) seems least favo</w:t>
      </w:r>
      <w:r w:rsidR="005F4463">
        <w:t>u</w:t>
      </w:r>
      <w:r>
        <w:t>rable considering the signa</w:t>
      </w:r>
      <w:r w:rsidR="009956FF">
        <w:t>l</w:t>
      </w:r>
      <w:r>
        <w:t xml:space="preserve">ling overhead. Considering the fact that option (ii)-type configuration is already supported in LTE (e.g. for eMTC), the gNB can decide to either support option (i) or option (ii). </w:t>
      </w:r>
    </w:p>
    <w:p w14:paraId="497D1F03" w14:textId="34FE8560" w:rsidR="007122A6" w:rsidRPr="00A417CA" w:rsidRDefault="007122A6" w:rsidP="007122A6">
      <w:pPr>
        <w:pStyle w:val="ae"/>
        <w:spacing w:line="288" w:lineRule="auto"/>
        <w:rPr>
          <w:b/>
          <w:i/>
        </w:rPr>
      </w:pPr>
      <w:r w:rsidRPr="00A417CA">
        <w:rPr>
          <w:b/>
          <w:i/>
        </w:rPr>
        <w:t>Observation</w:t>
      </w:r>
      <w:r w:rsidR="00440468">
        <w:rPr>
          <w:b/>
          <w:i/>
        </w:rPr>
        <w:t xml:space="preserve"> </w:t>
      </w:r>
      <w:r w:rsidR="00807372">
        <w:rPr>
          <w:b/>
          <w:i/>
        </w:rPr>
        <w:t>7</w:t>
      </w:r>
      <w:r w:rsidRPr="00A417CA">
        <w:rPr>
          <w:b/>
          <w:i/>
        </w:rPr>
        <w:t xml:space="preserve">: </w:t>
      </w:r>
      <w:r w:rsidR="009956FF" w:rsidRPr="00A417CA">
        <w:rPr>
          <w:b/>
          <w:i/>
        </w:rPr>
        <w:t xml:space="preserve">RS for </w:t>
      </w:r>
      <w:r w:rsidRPr="00A417CA">
        <w:rPr>
          <w:b/>
          <w:i/>
        </w:rPr>
        <w:t>RRM inside the 1</w:t>
      </w:r>
      <w:r w:rsidRPr="00A417CA">
        <w:rPr>
          <w:b/>
          <w:i/>
          <w:vertAlign w:val="superscript"/>
        </w:rPr>
        <w:t>st</w:t>
      </w:r>
      <w:r w:rsidRPr="00A417CA">
        <w:rPr>
          <w:b/>
          <w:i/>
        </w:rPr>
        <w:t xml:space="preserve"> RF BW</w:t>
      </w:r>
      <w:r w:rsidR="009956FF" w:rsidRPr="00A417CA">
        <w:rPr>
          <w:b/>
          <w:i/>
        </w:rPr>
        <w:t xml:space="preserve"> (and 2</w:t>
      </w:r>
      <w:r w:rsidR="009956FF" w:rsidRPr="00A417CA">
        <w:rPr>
          <w:b/>
          <w:i/>
          <w:vertAlign w:val="superscript"/>
        </w:rPr>
        <w:t>nd</w:t>
      </w:r>
      <w:r w:rsidR="009956FF" w:rsidRPr="00A417CA">
        <w:rPr>
          <w:b/>
          <w:i/>
        </w:rPr>
        <w:t xml:space="preserve"> RF BW)</w:t>
      </w:r>
      <w:r w:rsidRPr="00A417CA">
        <w:rPr>
          <w:b/>
          <w:i/>
        </w:rPr>
        <w:t xml:space="preserve"> or separate</w:t>
      </w:r>
      <w:r w:rsidR="009956FF" w:rsidRPr="00A417CA">
        <w:rPr>
          <w:b/>
          <w:i/>
        </w:rPr>
        <w:t>d</w:t>
      </w:r>
      <w:r w:rsidRPr="00A417CA">
        <w:rPr>
          <w:b/>
          <w:i/>
        </w:rPr>
        <w:t xml:space="preserve"> from the 1</w:t>
      </w:r>
      <w:r w:rsidRPr="00A417CA">
        <w:rPr>
          <w:b/>
          <w:i/>
          <w:vertAlign w:val="superscript"/>
        </w:rPr>
        <w:t>st</w:t>
      </w:r>
      <w:r w:rsidRPr="00A417CA">
        <w:rPr>
          <w:b/>
          <w:i/>
        </w:rPr>
        <w:t xml:space="preserve"> RF BW</w:t>
      </w:r>
      <w:r w:rsidR="00181F7D" w:rsidRPr="00A417CA">
        <w:rPr>
          <w:b/>
          <w:i/>
        </w:rPr>
        <w:t xml:space="preserve"> (and 2</w:t>
      </w:r>
      <w:r w:rsidR="00181F7D" w:rsidRPr="00A417CA">
        <w:rPr>
          <w:b/>
          <w:i/>
          <w:vertAlign w:val="superscript"/>
        </w:rPr>
        <w:t>nd</w:t>
      </w:r>
      <w:r w:rsidR="00181F7D" w:rsidRPr="00A417CA">
        <w:rPr>
          <w:b/>
          <w:i/>
        </w:rPr>
        <w:t xml:space="preserve"> RF BW)</w:t>
      </w:r>
      <w:r w:rsidRPr="00A417CA">
        <w:rPr>
          <w:b/>
          <w:i/>
        </w:rPr>
        <w:t xml:space="preserve"> with support of UE retuning are viable options for a network to select. </w:t>
      </w:r>
    </w:p>
    <w:p w14:paraId="65A2C2FF" w14:textId="301F9711" w:rsidR="00202451" w:rsidRDefault="00202451" w:rsidP="0057205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Possible modes of operation for single carrier wideband</w:t>
      </w:r>
    </w:p>
    <w:p w14:paraId="12493A8F" w14:textId="32DC8D88" w:rsidR="00436233" w:rsidRDefault="00984483" w:rsidP="00A417CA">
      <w:pPr>
        <w:jc w:val="center"/>
        <w:rPr>
          <w:lang w:val="en-US"/>
        </w:rPr>
      </w:pPr>
      <w:r w:rsidRPr="00EA5CCB">
        <w:rPr>
          <w:noProof/>
          <w:lang w:val="en-US" w:eastAsia="ko-KR"/>
        </w:rPr>
        <w:drawing>
          <wp:inline distT="0" distB="0" distL="0" distR="0" wp14:anchorId="522E6196" wp14:editId="6D141AAC">
            <wp:extent cx="4128406" cy="1817076"/>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12587" t="17986" r="12566" b="23450"/>
                    <a:stretch/>
                  </pic:blipFill>
                  <pic:spPr bwMode="auto">
                    <a:xfrm>
                      <a:off x="0" y="0"/>
                      <a:ext cx="4147706" cy="1825571"/>
                    </a:xfrm>
                    <a:prstGeom prst="rect">
                      <a:avLst/>
                    </a:prstGeom>
                    <a:ln>
                      <a:noFill/>
                    </a:ln>
                    <a:extLst>
                      <a:ext uri="{53640926-AAD7-44D8-BBD7-CCE9431645EC}">
                        <a14:shadowObscured xmlns:a14="http://schemas.microsoft.com/office/drawing/2010/main"/>
                      </a:ext>
                    </a:extLst>
                  </pic:spPr>
                </pic:pic>
              </a:graphicData>
            </a:graphic>
          </wp:inline>
        </w:drawing>
      </w:r>
    </w:p>
    <w:p w14:paraId="2AD10B6B" w14:textId="1CDCDE3B" w:rsidR="00984483" w:rsidRPr="00A417CA" w:rsidRDefault="00984483" w:rsidP="00A417CA">
      <w:pPr>
        <w:pStyle w:val="TH"/>
      </w:pPr>
      <w:r w:rsidRPr="00A417CA">
        <w:t>Fig</w:t>
      </w:r>
      <w:r w:rsidR="008569F6" w:rsidRPr="00A417CA">
        <w:t>ure</w:t>
      </w:r>
      <w:r w:rsidRPr="00A417CA">
        <w:t xml:space="preserve"> 1: Possible modes of operations/ implementation for wider bandwidth</w:t>
      </w:r>
      <w:r w:rsidR="009A54DF" w:rsidRPr="00A417CA">
        <w:t xml:space="preserve"> [</w:t>
      </w:r>
      <w:r w:rsidR="00C8357F">
        <w:t>3</w:t>
      </w:r>
      <w:r w:rsidR="009A54DF" w:rsidRPr="00A417CA">
        <w:t>]</w:t>
      </w:r>
    </w:p>
    <w:p w14:paraId="3EF4322C" w14:textId="32D20DE8" w:rsidR="00E74072" w:rsidRDefault="003F1BDB" w:rsidP="00A417CA">
      <w:pPr>
        <w:spacing w:line="288" w:lineRule="auto"/>
        <w:jc w:val="both"/>
        <w:rPr>
          <w:lang w:val="en-US"/>
        </w:rPr>
      </w:pPr>
      <w:r>
        <w:rPr>
          <w:lang w:val="en-US" w:eastAsia="ko-KR"/>
        </w:rPr>
        <w:t>Fig</w:t>
      </w:r>
      <w:r w:rsidR="008569F6">
        <w:rPr>
          <w:lang w:val="en-US" w:eastAsia="ko-KR"/>
        </w:rPr>
        <w:t>ure</w:t>
      </w:r>
      <w:r>
        <w:rPr>
          <w:lang w:val="en-US" w:eastAsia="ko-KR"/>
        </w:rPr>
        <w:t xml:space="preserve"> 1 shows the various possible implementation</w:t>
      </w:r>
      <w:r w:rsidR="007D7678">
        <w:rPr>
          <w:lang w:val="en-US" w:eastAsia="ko-KR"/>
        </w:rPr>
        <w:t>s for wideband operations</w:t>
      </w:r>
      <w:r w:rsidR="00A51FFF">
        <w:rPr>
          <w:lang w:val="en-US" w:eastAsia="ko-KR"/>
        </w:rPr>
        <w:t xml:space="preserve"> that were considered in the RAN4 discussions on the wideband support for NR</w:t>
      </w:r>
      <w:r w:rsidR="007D7678">
        <w:rPr>
          <w:lang w:val="en-US" w:eastAsia="ko-KR"/>
        </w:rPr>
        <w:t xml:space="preserve">. Cases 5-8 </w:t>
      </w:r>
      <w:r w:rsidR="00CA326D">
        <w:rPr>
          <w:lang w:val="en-US" w:eastAsia="ko-KR"/>
        </w:rPr>
        <w:t>are</w:t>
      </w:r>
      <w:r w:rsidR="007D7678">
        <w:rPr>
          <w:lang w:val="en-US" w:eastAsia="ko-KR"/>
        </w:rPr>
        <w:t xml:space="preserve"> regarded as carrier aggregation/ dual connectivity based </w:t>
      </w:r>
      <w:r w:rsidR="007D7678">
        <w:rPr>
          <w:lang w:val="en-US" w:eastAsia="ko-KR"/>
        </w:rPr>
        <w:lastRenderedPageBreak/>
        <w:t>implementations although each case may be different. For this discussion, Cases1-4 are more relevant and are regarded as the single carrier wideband operations</w:t>
      </w:r>
      <w:r w:rsidR="00CB4BD7">
        <w:rPr>
          <w:lang w:val="en-US" w:eastAsia="ko-KR"/>
        </w:rPr>
        <w:t xml:space="preserve"> (either from an UL or DL perspective)</w:t>
      </w:r>
      <w:r w:rsidR="007D7678">
        <w:rPr>
          <w:lang w:val="en-US" w:eastAsia="ko-KR"/>
        </w:rPr>
        <w:t xml:space="preserve">. </w:t>
      </w:r>
      <w:r w:rsidR="00A73317">
        <w:rPr>
          <w:lang w:val="en-US" w:eastAsia="ko-KR"/>
        </w:rPr>
        <w:t>Of course</w:t>
      </w:r>
      <w:r w:rsidR="00147CAA">
        <w:rPr>
          <w:lang w:val="en-US" w:eastAsia="ko-KR"/>
        </w:rPr>
        <w:t>,</w:t>
      </w:r>
      <w:r w:rsidR="00A73317">
        <w:rPr>
          <w:lang w:val="en-US" w:eastAsia="ko-KR"/>
        </w:rPr>
        <w:t xml:space="preserve"> note that the gNB must be aware of the UE capability regarding Cases1-4 for the gNB to appropriately schedule the UE over the wide band.</w:t>
      </w:r>
      <w:r w:rsidR="009A54DF">
        <w:rPr>
          <w:lang w:val="en-US" w:eastAsia="ko-KR"/>
        </w:rPr>
        <w:t xml:space="preserve"> </w:t>
      </w:r>
    </w:p>
    <w:p w14:paraId="132D72BF" w14:textId="3C1C6CC0" w:rsidR="00793A5C" w:rsidRDefault="00E74072" w:rsidP="00A417CA">
      <w:pPr>
        <w:spacing w:line="288" w:lineRule="auto"/>
        <w:jc w:val="both"/>
        <w:rPr>
          <w:lang w:val="en-US"/>
        </w:rPr>
      </w:pPr>
      <w:r>
        <w:rPr>
          <w:lang w:val="en-US" w:eastAsia="ko-KR"/>
        </w:rPr>
        <w:t>F</w:t>
      </w:r>
      <w:r w:rsidR="009A54DF">
        <w:rPr>
          <w:lang w:val="en-US" w:eastAsia="ko-KR"/>
        </w:rPr>
        <w:t xml:space="preserve">rom a UE perspective, Cases 1, 2, and 4 are more straightforward from an implementation </w:t>
      </w:r>
      <w:r w:rsidR="004C1B4D">
        <w:rPr>
          <w:lang w:val="en-US" w:eastAsia="ko-KR"/>
        </w:rPr>
        <w:t>aspect</w:t>
      </w:r>
      <w:r w:rsidR="009A54DF">
        <w:rPr>
          <w:lang w:val="en-US" w:eastAsia="ko-KR"/>
        </w:rPr>
        <w:t>. Case 3 is a non-trivial case from a UE side since the RF chains are separated</w:t>
      </w:r>
      <w:r w:rsidR="006946CB">
        <w:rPr>
          <w:lang w:val="en-US" w:eastAsia="ko-KR"/>
        </w:rPr>
        <w:t>. Specifically, additional</w:t>
      </w:r>
      <w:r w:rsidR="009A54DF">
        <w:rPr>
          <w:lang w:val="en-US" w:eastAsia="ko-KR"/>
        </w:rPr>
        <w:t xml:space="preserve"> attention is required to account for</w:t>
      </w:r>
      <w:r w:rsidR="006946CB">
        <w:rPr>
          <w:lang w:val="en-US" w:eastAsia="ko-KR"/>
        </w:rPr>
        <w:t xml:space="preserve"> a)</w:t>
      </w:r>
      <w:r w:rsidR="009A54DF">
        <w:rPr>
          <w:lang w:val="en-US" w:eastAsia="ko-KR"/>
        </w:rPr>
        <w:t xml:space="preserve"> the phase discontinuity that may arise at th</w:t>
      </w:r>
      <w:r w:rsidR="006946CB">
        <w:rPr>
          <w:lang w:val="en-US" w:eastAsia="ko-KR"/>
        </w:rPr>
        <w:t>e band edge</w:t>
      </w:r>
      <w:r w:rsidR="00E51369">
        <w:rPr>
          <w:lang w:val="en-US" w:eastAsia="ko-KR"/>
        </w:rPr>
        <w:t xml:space="preserve"> (overlapping spectrum)</w:t>
      </w:r>
      <w:r w:rsidR="006946CB">
        <w:rPr>
          <w:lang w:val="en-US" w:eastAsia="ko-KR"/>
        </w:rPr>
        <w:t xml:space="preserve"> of the 2 RF chains and b) synchronization errors across the 2 RF chains. This needs to be taken care via (1) avoiding any scheduling </w:t>
      </w:r>
      <w:r w:rsidR="006F5824">
        <w:rPr>
          <w:lang w:val="en-US" w:eastAsia="ko-KR"/>
        </w:rPr>
        <w:t xml:space="preserve">for the UE </w:t>
      </w:r>
      <w:r w:rsidR="006946CB">
        <w:rPr>
          <w:lang w:val="en-US" w:eastAsia="ko-KR"/>
        </w:rPr>
        <w:t>in the overlap region of the 2 RF chains and</w:t>
      </w:r>
      <w:r w:rsidR="00E677B2">
        <w:rPr>
          <w:lang w:val="en-US" w:eastAsia="ko-KR"/>
        </w:rPr>
        <w:t>/or</w:t>
      </w:r>
      <w:r w:rsidR="006946CB">
        <w:rPr>
          <w:lang w:val="en-US" w:eastAsia="ko-KR"/>
        </w:rPr>
        <w:t xml:space="preserve"> (2) provide additional reference signals for channel estimation and synchronization between these 2 RF chains. It is clear that option (1) needs the gNB t</w:t>
      </w:r>
      <w:r w:rsidR="00E65982">
        <w:rPr>
          <w:lang w:val="en-US" w:eastAsia="ko-KR"/>
        </w:rPr>
        <w:t>o be aware of the UE’s RF capability which will be signaled to the gNB as part of UE capability information.</w:t>
      </w:r>
      <w:r w:rsidR="0021758D">
        <w:rPr>
          <w:lang w:val="en-US" w:eastAsia="ko-KR"/>
        </w:rPr>
        <w:t xml:space="preserve"> In option (2), more specification efforts are necessary since the gNB must inform this UE about the presence of the additional CSI-RS signals. Also, these resources cannot be used for scheduling other users. Hence, UE specific configurations </w:t>
      </w:r>
      <w:r w:rsidR="00D446B0">
        <w:rPr>
          <w:lang w:val="en-US" w:eastAsia="ko-KR"/>
        </w:rPr>
        <w:t xml:space="preserve">should </w:t>
      </w:r>
      <w:r w:rsidR="0021758D">
        <w:rPr>
          <w:lang w:val="en-US" w:eastAsia="ko-KR"/>
        </w:rPr>
        <w:t>be used by the gNB</w:t>
      </w:r>
      <w:r w:rsidR="003C69F2">
        <w:rPr>
          <w:lang w:val="en-US" w:eastAsia="ko-KR"/>
        </w:rPr>
        <w:t xml:space="preserve"> in both options. In either case, the inputs from RAN4 is necessary before RAN1 can take a decision on the impacts of the RF implementation in case-3. </w:t>
      </w:r>
    </w:p>
    <w:p w14:paraId="78F945FE" w14:textId="21F7902D" w:rsidR="00446FE5" w:rsidRPr="00A417CA" w:rsidRDefault="00A70B48" w:rsidP="00A417CA">
      <w:pPr>
        <w:spacing w:line="288" w:lineRule="auto"/>
        <w:jc w:val="both"/>
        <w:rPr>
          <w:b/>
          <w:i/>
          <w:lang w:val="en-US"/>
        </w:rPr>
      </w:pPr>
      <w:r w:rsidRPr="00A417CA">
        <w:rPr>
          <w:b/>
          <w:i/>
          <w:lang w:val="en-US" w:eastAsia="ko-KR"/>
        </w:rPr>
        <w:t>Observation</w:t>
      </w:r>
      <w:r w:rsidR="00440468">
        <w:rPr>
          <w:b/>
          <w:i/>
          <w:lang w:val="en-US" w:eastAsia="ko-KR"/>
        </w:rPr>
        <w:t xml:space="preserve"> </w:t>
      </w:r>
      <w:r w:rsidR="00537F4D">
        <w:rPr>
          <w:b/>
          <w:i/>
          <w:lang w:val="en-US" w:eastAsia="ko-KR"/>
        </w:rPr>
        <w:t>8</w:t>
      </w:r>
      <w:r w:rsidRPr="00A417CA">
        <w:rPr>
          <w:b/>
          <w:i/>
          <w:lang w:val="en-US" w:eastAsia="ko-KR"/>
        </w:rPr>
        <w:t xml:space="preserve">: </w:t>
      </w:r>
      <w:r w:rsidR="005E46DF" w:rsidRPr="00A417CA">
        <w:rPr>
          <w:b/>
          <w:i/>
          <w:lang w:val="en-US" w:eastAsia="ko-KR"/>
        </w:rPr>
        <w:t>Supporting the i</w:t>
      </w:r>
      <w:r w:rsidRPr="00A417CA">
        <w:rPr>
          <w:b/>
          <w:i/>
          <w:lang w:val="en-US" w:eastAsia="ko-KR"/>
        </w:rPr>
        <w:t>mplementation of case-3 from a UE side</w:t>
      </w:r>
      <w:r w:rsidR="00F152CC" w:rsidRPr="00A417CA">
        <w:rPr>
          <w:b/>
          <w:i/>
          <w:lang w:val="en-US" w:eastAsia="ko-KR"/>
        </w:rPr>
        <w:t xml:space="preserve"> (and RAN1)</w:t>
      </w:r>
      <w:r w:rsidRPr="00A417CA">
        <w:rPr>
          <w:b/>
          <w:i/>
          <w:lang w:val="en-US" w:eastAsia="ko-KR"/>
        </w:rPr>
        <w:t xml:space="preserve"> needs more study and inputs from RAN4 about the impacts of supporting a wideband using 2 RF chains, but one baseband. </w:t>
      </w:r>
    </w:p>
    <w:p w14:paraId="1734A82C" w14:textId="1489807B" w:rsidR="00A526F2" w:rsidRDefault="00A526F2" w:rsidP="00A417CA">
      <w:pPr>
        <w:spacing w:line="288" w:lineRule="auto"/>
        <w:jc w:val="both"/>
        <w:rPr>
          <w:lang w:val="en-US" w:eastAsia="ko-KR"/>
        </w:rPr>
      </w:pPr>
      <w:r w:rsidRPr="00A417CA">
        <w:rPr>
          <w:lang w:val="en-US" w:eastAsia="ko-KR"/>
        </w:rPr>
        <w:t xml:space="preserve">While waiting for the </w:t>
      </w:r>
      <w:r>
        <w:rPr>
          <w:lang w:val="en-US" w:eastAsia="ko-KR"/>
        </w:rPr>
        <w:t>RAN4 study, RAN1 can initially consider to support Case-3 in a CA manner for the specific UE which h</w:t>
      </w:r>
      <w:r w:rsidR="00E678A6">
        <w:rPr>
          <w:lang w:val="en-US" w:eastAsia="ko-KR"/>
        </w:rPr>
        <w:t>as 2 RF chains over a wideband.</w:t>
      </w:r>
    </w:p>
    <w:p w14:paraId="38F4E448" w14:textId="77777777" w:rsidR="00E678A6" w:rsidRPr="00C35E53" w:rsidRDefault="00E678A6" w:rsidP="00EA28FB">
      <w:pPr>
        <w:pStyle w:val="ae"/>
        <w:spacing w:line="288" w:lineRule="auto"/>
        <w:rPr>
          <w:rFonts w:ascii="Times New Roman" w:eastAsia="맑은 고딕" w:hAnsi="Times New Roman"/>
          <w:b/>
          <w:szCs w:val="20"/>
          <w:u w:val="single"/>
          <w:lang w:val="en-US" w:eastAsia="ko-KR"/>
        </w:rPr>
      </w:pPr>
      <w:r w:rsidRPr="00C35E53">
        <w:rPr>
          <w:rFonts w:ascii="Times New Roman" w:eastAsia="맑은 고딕" w:hAnsi="Times New Roman"/>
          <w:b/>
          <w:szCs w:val="20"/>
          <w:u w:val="single"/>
          <w:lang w:val="en-US" w:eastAsia="ko-KR"/>
        </w:rPr>
        <w:t>RS impact for Case 3 Support</w:t>
      </w:r>
    </w:p>
    <w:p w14:paraId="7A12A946" w14:textId="687EA64F" w:rsidR="00E678A6" w:rsidRPr="004B4C03" w:rsidRDefault="00E678A6" w:rsidP="00EA28FB">
      <w:pPr>
        <w:pStyle w:val="ae"/>
        <w:spacing w:line="288" w:lineRule="auto"/>
        <w:rPr>
          <w:rFonts w:ascii="Times New Roman" w:eastAsia="맑은 고딕" w:hAnsi="Times New Roman"/>
          <w:szCs w:val="20"/>
          <w:lang w:val="en-US" w:eastAsia="ko-KR"/>
        </w:rPr>
      </w:pPr>
      <w:r w:rsidRPr="004B4C03">
        <w:rPr>
          <w:rFonts w:ascii="Times New Roman" w:eastAsia="맑은 고딕" w:hAnsi="Times New Roman"/>
          <w:szCs w:val="20"/>
          <w:lang w:val="en-US" w:eastAsia="ko-KR"/>
        </w:rPr>
        <w:t xml:space="preserve">During RAN1#88 meetings, some companies raised concerns regarding the heterogeneous support via CA manner for Case-3. </w:t>
      </w:r>
      <w:r w:rsidR="00FD1CC7" w:rsidRPr="004B4C03">
        <w:rPr>
          <w:rFonts w:ascii="Times New Roman" w:eastAsia="맑은 고딕" w:hAnsi="Times New Roman"/>
          <w:szCs w:val="20"/>
          <w:lang w:val="en-US" w:eastAsia="ko-KR"/>
        </w:rPr>
        <w:t xml:space="preserve">That is, some </w:t>
      </w:r>
      <w:r w:rsidR="00FD1CC7" w:rsidRPr="004B4C03">
        <w:rPr>
          <w:rFonts w:ascii="Times New Roman" w:eastAsia="맑은 고딕" w:hAnsi="Times New Roman"/>
          <w:szCs w:val="20"/>
          <w:lang w:eastAsia="ko-KR"/>
        </w:rPr>
        <w:t>UEs operate via CA and other UEs via single wideband carrier mechanism under Case-3.</w:t>
      </w:r>
      <w:r w:rsidR="00FD1CC7" w:rsidRPr="004B4C03">
        <w:rPr>
          <w:rFonts w:ascii="Times New Roman" w:eastAsia="맑은 고딕" w:hAnsi="Times New Roman"/>
          <w:szCs w:val="20"/>
          <w:lang w:val="en-US" w:eastAsia="ko-KR"/>
        </w:rPr>
        <w:t xml:space="preserve"> </w:t>
      </w:r>
      <w:r w:rsidRPr="004B4C03">
        <w:rPr>
          <w:rFonts w:ascii="Times New Roman" w:eastAsia="맑은 고딕" w:hAnsi="Times New Roman"/>
          <w:szCs w:val="20"/>
          <w:lang w:val="en-US" w:eastAsia="ko-KR"/>
        </w:rPr>
        <w:t>Specifically, concerns were raised with respect to support of reference signals design such as tracking RS and its usage when various UEs are supported within a single carrier fashion or CA fashion to enable Case-3 deployments. We believe that there will be no issue with handling such cases. For example, tracking RS may be designed as a wideband RS which spans the entire system BW. When a UE supports the full system BW in single carrier fashion, it can use the full tracking RS signal for securing wideband measurements. However, for users that support case-3 in a CA fashion, they can secure only sub-band measurements of this wideband RS. While the measurements may indeed be degraded when considering one-shot measurements, we believe that such users can improve the measurement accuracy by obtaining measurements for a longer period of time. Hence we believe case-3 for heterogeneous UE’s can still be supported from the network side either in a single carrier or CA fashion simultaneously</w:t>
      </w:r>
      <w:r w:rsidR="006215B3" w:rsidRPr="004B4C03">
        <w:rPr>
          <w:rFonts w:ascii="Times New Roman" w:eastAsia="맑은 고딕" w:hAnsi="Times New Roman"/>
          <w:szCs w:val="20"/>
          <w:lang w:val="en-US" w:eastAsia="ko-KR"/>
        </w:rPr>
        <w:t xml:space="preserve"> based on UE capability</w:t>
      </w:r>
      <w:r w:rsidRPr="004B4C03">
        <w:rPr>
          <w:rFonts w:ascii="Times New Roman" w:eastAsia="맑은 고딕" w:hAnsi="Times New Roman"/>
          <w:szCs w:val="20"/>
          <w:lang w:val="en-US" w:eastAsia="ko-KR"/>
        </w:rPr>
        <w:t xml:space="preserve">. </w:t>
      </w:r>
    </w:p>
    <w:p w14:paraId="42BBD856" w14:textId="5DBF237A" w:rsidR="00A526F2" w:rsidRPr="00A417CA" w:rsidRDefault="00A526F2" w:rsidP="00A417CA">
      <w:pPr>
        <w:spacing w:line="288" w:lineRule="auto"/>
        <w:jc w:val="both"/>
        <w:rPr>
          <w:b/>
          <w:i/>
          <w:lang w:val="en-US"/>
        </w:rPr>
      </w:pPr>
      <w:r w:rsidRPr="00A417CA">
        <w:rPr>
          <w:b/>
          <w:i/>
          <w:lang w:val="en-US" w:eastAsia="ko-KR"/>
        </w:rPr>
        <w:t>Proposal</w:t>
      </w:r>
      <w:r w:rsidR="00440468">
        <w:rPr>
          <w:b/>
          <w:i/>
          <w:lang w:val="en-US" w:eastAsia="ko-KR"/>
        </w:rPr>
        <w:t xml:space="preserve"> </w:t>
      </w:r>
      <w:r w:rsidR="00807372">
        <w:rPr>
          <w:b/>
          <w:i/>
          <w:lang w:val="en-US" w:eastAsia="ko-KR"/>
        </w:rPr>
        <w:t>2</w:t>
      </w:r>
      <w:r w:rsidRPr="00A417CA">
        <w:rPr>
          <w:b/>
          <w:i/>
          <w:lang w:val="en-US" w:eastAsia="ko-KR"/>
        </w:rPr>
        <w:t>: Initial RAN1 study for supporting case-3 can be from a CA perspective.</w:t>
      </w:r>
    </w:p>
    <w:p w14:paraId="731A2DE9" w14:textId="74B587BC" w:rsidR="00446FE5" w:rsidRDefault="00200069" w:rsidP="00A417CA">
      <w:pPr>
        <w:spacing w:line="288" w:lineRule="auto"/>
        <w:jc w:val="both"/>
        <w:rPr>
          <w:lang w:val="en-US"/>
        </w:rPr>
      </w:pPr>
      <w:r>
        <w:rPr>
          <w:lang w:val="en-US" w:eastAsia="ko-KR"/>
        </w:rPr>
        <w:t>I</w:t>
      </w:r>
      <w:r w:rsidR="00446FE5" w:rsidRPr="00A417CA">
        <w:rPr>
          <w:lang w:val="en-US" w:eastAsia="ko-KR"/>
        </w:rPr>
        <w:t>t</w:t>
      </w:r>
      <w:r w:rsidR="00446FE5">
        <w:rPr>
          <w:lang w:val="en-US" w:eastAsia="ko-KR"/>
        </w:rPr>
        <w:t xml:space="preserve"> is clear that from an UL perspective, DFT-S-OFDM cannot be used to support Cases-3 and 4 in order to preserve the single carrier property. Hence CP-OFDM will be the default waveform that needs to be </w:t>
      </w:r>
      <w:r w:rsidR="00944801">
        <w:rPr>
          <w:lang w:val="en-US" w:eastAsia="ko-KR"/>
        </w:rPr>
        <w:t>used</w:t>
      </w:r>
      <w:r w:rsidR="00446FE5">
        <w:rPr>
          <w:lang w:val="en-US" w:eastAsia="ko-KR"/>
        </w:rPr>
        <w:t xml:space="preserve"> in the UL if Cases 3, 4 have to be considered. This also mandates special considerations on the power levels for the UE uplink transmissions. However, note that in cases 1</w:t>
      </w:r>
      <w:r w:rsidR="00F86182">
        <w:rPr>
          <w:lang w:val="en-US" w:eastAsia="ko-KR"/>
        </w:rPr>
        <w:t xml:space="preserve"> and</w:t>
      </w:r>
      <w:r w:rsidR="00446FE5">
        <w:rPr>
          <w:lang w:val="en-US" w:eastAsia="ko-KR"/>
        </w:rPr>
        <w:t xml:space="preserve"> 2</w:t>
      </w:r>
      <w:r w:rsidR="00371D40">
        <w:rPr>
          <w:lang w:val="en-US" w:eastAsia="ko-KR"/>
        </w:rPr>
        <w:t>,</w:t>
      </w:r>
      <w:r w:rsidR="00446FE5">
        <w:rPr>
          <w:lang w:val="en-US" w:eastAsia="ko-KR"/>
        </w:rPr>
        <w:t xml:space="preserve"> power gains of about 3dB may be achieved due to the possibility of implementation of </w:t>
      </w:r>
      <w:r w:rsidR="00390378">
        <w:rPr>
          <w:lang w:val="en-US" w:eastAsia="ko-KR"/>
        </w:rPr>
        <w:t xml:space="preserve">low PAPR </w:t>
      </w:r>
      <w:r w:rsidR="00446FE5">
        <w:rPr>
          <w:lang w:val="en-US" w:eastAsia="ko-KR"/>
        </w:rPr>
        <w:t>DFT-S-OFDM.</w:t>
      </w:r>
      <w:r w:rsidR="00060B1D">
        <w:rPr>
          <w:lang w:val="en-US" w:eastAsia="ko-KR"/>
        </w:rPr>
        <w:t xml:space="preserve"> Hence, depending on the UE link budget and UE capability, appropriate configurations may be chosen. </w:t>
      </w:r>
    </w:p>
    <w:p w14:paraId="5B48F19C" w14:textId="3162DB13" w:rsidR="00744B2E" w:rsidRPr="00A417CA" w:rsidRDefault="00744B2E" w:rsidP="00A417CA">
      <w:pPr>
        <w:spacing w:line="288" w:lineRule="auto"/>
        <w:jc w:val="both"/>
        <w:rPr>
          <w:b/>
          <w:i/>
          <w:lang w:val="en-US"/>
        </w:rPr>
      </w:pPr>
      <w:r w:rsidRPr="00A417CA">
        <w:rPr>
          <w:b/>
          <w:i/>
          <w:lang w:val="en-US" w:eastAsia="ko-KR"/>
        </w:rPr>
        <w:t>Observation</w:t>
      </w:r>
      <w:r w:rsidR="00440468">
        <w:rPr>
          <w:b/>
          <w:i/>
          <w:lang w:val="en-US" w:eastAsia="ko-KR"/>
        </w:rPr>
        <w:t xml:space="preserve"> </w:t>
      </w:r>
      <w:r w:rsidR="00537F4D">
        <w:rPr>
          <w:b/>
          <w:i/>
          <w:lang w:val="en-US" w:eastAsia="ko-KR"/>
        </w:rPr>
        <w:t>9</w:t>
      </w:r>
      <w:r w:rsidRPr="00A417CA">
        <w:rPr>
          <w:b/>
          <w:i/>
          <w:lang w:val="en-US" w:eastAsia="ko-KR"/>
        </w:rPr>
        <w:t xml:space="preserve">: The applicability of DFT-S-OFDM waveform in the uplink </w:t>
      </w:r>
      <w:r w:rsidR="0057205B" w:rsidRPr="00A417CA">
        <w:rPr>
          <w:b/>
          <w:i/>
          <w:lang w:val="en-US" w:eastAsia="ko-KR"/>
        </w:rPr>
        <w:t xml:space="preserve">wideband operations </w:t>
      </w:r>
      <w:r w:rsidRPr="00A417CA">
        <w:rPr>
          <w:b/>
          <w:i/>
          <w:lang w:val="en-US" w:eastAsia="ko-KR"/>
        </w:rPr>
        <w:t>depends on various configurations</w:t>
      </w:r>
      <w:r w:rsidR="009866AE" w:rsidRPr="00A417CA">
        <w:rPr>
          <w:b/>
          <w:i/>
          <w:lang w:val="en-US" w:eastAsia="ko-KR"/>
        </w:rPr>
        <w:t xml:space="preserve"> listed above</w:t>
      </w:r>
      <w:r w:rsidR="00FE1CED">
        <w:rPr>
          <w:b/>
          <w:i/>
          <w:lang w:val="en-US" w:eastAsia="ko-KR"/>
        </w:rPr>
        <w:t xml:space="preserve"> (e.g., case 3 and 4)</w:t>
      </w:r>
      <w:r w:rsidR="0057205B" w:rsidRPr="00A417CA">
        <w:rPr>
          <w:b/>
          <w:i/>
          <w:lang w:val="en-US" w:eastAsia="ko-KR"/>
        </w:rPr>
        <w:t>.</w:t>
      </w:r>
    </w:p>
    <w:p w14:paraId="10B10BB1" w14:textId="2CC04F18" w:rsidR="00446FE5" w:rsidRDefault="00856328" w:rsidP="00A417CA">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szCs w:val="20"/>
          <w:lang w:val="en-US"/>
        </w:rPr>
        <w:t>Other</w:t>
      </w:r>
    </w:p>
    <w:p w14:paraId="21C6B062" w14:textId="4BAA645A" w:rsidR="00287405" w:rsidRDefault="00287405" w:rsidP="00A417CA">
      <w:pPr>
        <w:spacing w:line="288" w:lineRule="auto"/>
        <w:jc w:val="both"/>
        <w:rPr>
          <w:lang w:val="en-US" w:eastAsia="ko-KR"/>
        </w:rPr>
      </w:pPr>
      <w:r>
        <w:rPr>
          <w:lang w:val="en-US" w:eastAsia="ko-KR"/>
        </w:rPr>
        <w:t xml:space="preserve">The processing of code blocks is dependent on the decoder blocks i.e. hardware dependent. </w:t>
      </w:r>
      <w:r w:rsidR="00287A82">
        <w:rPr>
          <w:lang w:val="en-US" w:eastAsia="ko-KR"/>
        </w:rPr>
        <w:t>A UE which has parallel processing capability, especially in the decoder hardware, may perform parallel decoding on multiple code blocks simultaneously. For this reason, when a code block is limited to a specific bandwidth (with fixed boundaries well known to UE and gNB), and when interleaving is not performed across sub-bands, each code block can be processed</w:t>
      </w:r>
      <w:r w:rsidR="00444E6D">
        <w:rPr>
          <w:lang w:val="en-US" w:eastAsia="ko-KR"/>
        </w:rPr>
        <w:t xml:space="preserve"> in parallel</w:t>
      </w:r>
      <w:r w:rsidR="00287A82">
        <w:rPr>
          <w:lang w:val="en-US" w:eastAsia="ko-KR"/>
        </w:rPr>
        <w:t xml:space="preserve">. </w:t>
      </w:r>
      <w:r w:rsidR="00287A82">
        <w:rPr>
          <w:lang w:val="en-US" w:eastAsia="ko-KR"/>
        </w:rPr>
        <w:lastRenderedPageBreak/>
        <w:t>However since the details of the interleaving etc</w:t>
      </w:r>
      <w:r w:rsidR="00940717">
        <w:rPr>
          <w:lang w:val="en-US" w:eastAsia="ko-KR"/>
        </w:rPr>
        <w:t>.</w:t>
      </w:r>
      <w:r w:rsidR="00287A82">
        <w:rPr>
          <w:lang w:val="en-US" w:eastAsia="ko-KR"/>
        </w:rPr>
        <w:t xml:space="preserve"> have not been decided yet in RAN1, it is premature to consider the study of supporting sub-band based mechanisms.</w:t>
      </w:r>
    </w:p>
    <w:p w14:paraId="1F83DE3F" w14:textId="77777777" w:rsidR="00E678A6" w:rsidRPr="004B4C03" w:rsidRDefault="00E678A6" w:rsidP="00EA28FB">
      <w:pPr>
        <w:pStyle w:val="ae"/>
        <w:spacing w:line="288" w:lineRule="auto"/>
        <w:rPr>
          <w:rFonts w:ascii="Times New Roman" w:eastAsia="맑은 고딕" w:hAnsi="Times New Roman"/>
          <w:b/>
          <w:szCs w:val="20"/>
          <w:u w:val="single"/>
          <w:lang w:val="en-US" w:eastAsia="ko-KR"/>
        </w:rPr>
      </w:pPr>
      <w:r w:rsidRPr="004B4C03">
        <w:rPr>
          <w:rFonts w:ascii="Times New Roman" w:eastAsia="맑은 고딕" w:hAnsi="Times New Roman"/>
          <w:b/>
          <w:szCs w:val="20"/>
          <w:u w:val="single"/>
          <w:lang w:val="en-US" w:eastAsia="ko-KR"/>
        </w:rPr>
        <w:t>AGC Settling</w:t>
      </w:r>
    </w:p>
    <w:p w14:paraId="20F1DE4C" w14:textId="48D3203A" w:rsidR="00E678A6" w:rsidRPr="004B4C03" w:rsidRDefault="00444E6D" w:rsidP="00EA28FB">
      <w:pPr>
        <w:pStyle w:val="ae"/>
        <w:spacing w:line="288" w:lineRule="auto"/>
        <w:rPr>
          <w:rFonts w:ascii="Times New Roman" w:eastAsia="맑은 고딕" w:hAnsi="Times New Roman"/>
          <w:szCs w:val="20"/>
          <w:lang w:val="en-US" w:eastAsia="ko-KR"/>
        </w:rPr>
      </w:pPr>
      <w:r>
        <w:rPr>
          <w:rFonts w:ascii="Times New Roman" w:eastAsia="맑은 고딕" w:hAnsi="Times New Roman"/>
          <w:szCs w:val="20"/>
          <w:lang w:val="en-US" w:eastAsia="ko-KR"/>
        </w:rPr>
        <w:t>As p</w:t>
      </w:r>
      <w:r w:rsidR="00E678A6" w:rsidRPr="004B4C03">
        <w:rPr>
          <w:rFonts w:ascii="Times New Roman" w:eastAsia="맑은 고딕" w:hAnsi="Times New Roman"/>
          <w:szCs w:val="20"/>
          <w:lang w:val="en-US" w:eastAsia="ko-KR"/>
        </w:rPr>
        <w:t xml:space="preserve">er RAN4 agreements, AGC settling should be addressed when inter-band BW </w:t>
      </w:r>
      <w:r w:rsidR="004C78B6" w:rsidRPr="004B4C03">
        <w:rPr>
          <w:rFonts w:ascii="Times New Roman" w:eastAsia="맑은 고딕" w:hAnsi="Times New Roman"/>
          <w:szCs w:val="20"/>
          <w:lang w:val="en-US" w:eastAsia="ko-KR"/>
        </w:rPr>
        <w:t>adaptation</w:t>
      </w:r>
      <w:r w:rsidR="00E678A6" w:rsidRPr="004B4C03">
        <w:rPr>
          <w:rFonts w:ascii="Times New Roman" w:eastAsia="맑은 고딕" w:hAnsi="Times New Roman"/>
          <w:szCs w:val="20"/>
          <w:lang w:val="en-US" w:eastAsia="ko-KR"/>
        </w:rPr>
        <w:t xml:space="preserve"> is considered. Specifically, it is necessary when the </w:t>
      </w:r>
      <w:r w:rsidR="0095574E" w:rsidRPr="004B4C03">
        <w:rPr>
          <w:rFonts w:ascii="Times New Roman" w:eastAsia="맑은 고딕" w:hAnsi="Times New Roman"/>
          <w:szCs w:val="20"/>
          <w:lang w:val="en-US" w:eastAsia="ko-KR"/>
        </w:rPr>
        <w:t xml:space="preserve">power spectral density </w:t>
      </w:r>
      <w:r w:rsidR="00E678A6" w:rsidRPr="004B4C03">
        <w:rPr>
          <w:rFonts w:ascii="Times New Roman" w:eastAsia="맑은 고딕" w:hAnsi="Times New Roman"/>
          <w:szCs w:val="20"/>
          <w:lang w:val="en-US" w:eastAsia="ko-KR"/>
        </w:rPr>
        <w:t xml:space="preserve">before and after BW </w:t>
      </w:r>
      <w:r w:rsidR="004C78B6" w:rsidRPr="004B4C03">
        <w:rPr>
          <w:rFonts w:ascii="Times New Roman" w:eastAsia="맑은 고딕" w:hAnsi="Times New Roman"/>
          <w:szCs w:val="20"/>
          <w:lang w:val="en-US" w:eastAsia="ko-KR"/>
        </w:rPr>
        <w:t>adaptation</w:t>
      </w:r>
      <w:r w:rsidR="00E678A6" w:rsidRPr="004B4C03">
        <w:rPr>
          <w:rFonts w:ascii="Times New Roman" w:eastAsia="맑은 고딕" w:hAnsi="Times New Roman"/>
          <w:szCs w:val="20"/>
          <w:lang w:val="en-US" w:eastAsia="ko-KR"/>
        </w:rPr>
        <w:t xml:space="preserve"> changes which depends significantly on the resource allocation, power used among others in addition to the bandwidth used. Avoiding any PSD fluctuations will need to ensure that the transmission takes care of several parameters which may put significant onus on the gNB (for example, considering the DL case). In order to avoid optimization for every UE, additional reference signals may be provided to the user for AGC settling purposes. These reference signals can be of the form of front-loaded DMRS and can be present in the initial part of the 2</w:t>
      </w:r>
      <w:r w:rsidR="00E678A6" w:rsidRPr="004B4C03">
        <w:rPr>
          <w:rFonts w:ascii="Times New Roman" w:eastAsia="맑은 고딕" w:hAnsi="Times New Roman"/>
          <w:szCs w:val="20"/>
          <w:vertAlign w:val="superscript"/>
          <w:lang w:val="en-US" w:eastAsia="ko-KR"/>
        </w:rPr>
        <w:t>nd</w:t>
      </w:r>
      <w:r w:rsidR="00C57EB0" w:rsidRPr="004B4C03">
        <w:rPr>
          <w:rFonts w:ascii="Times New Roman" w:eastAsia="맑은 고딕" w:hAnsi="Times New Roman"/>
          <w:szCs w:val="20"/>
          <w:lang w:val="en-US" w:eastAsia="ko-KR"/>
        </w:rPr>
        <w:t xml:space="preserve"> </w:t>
      </w:r>
      <w:r w:rsidR="00E678A6" w:rsidRPr="004B4C03">
        <w:rPr>
          <w:rFonts w:ascii="Times New Roman" w:eastAsia="맑은 고딕" w:hAnsi="Times New Roman"/>
          <w:szCs w:val="20"/>
          <w:lang w:val="en-US" w:eastAsia="ko-KR"/>
        </w:rPr>
        <w:t>RF BW or 1</w:t>
      </w:r>
      <w:r w:rsidR="00E678A6" w:rsidRPr="004B4C03">
        <w:rPr>
          <w:rFonts w:ascii="Times New Roman" w:eastAsia="맑은 고딕" w:hAnsi="Times New Roman"/>
          <w:szCs w:val="20"/>
          <w:vertAlign w:val="superscript"/>
          <w:lang w:val="en-US" w:eastAsia="ko-KR"/>
        </w:rPr>
        <w:t>st</w:t>
      </w:r>
      <w:r w:rsidR="00C57EB0" w:rsidRPr="004B4C03">
        <w:rPr>
          <w:rFonts w:ascii="Times New Roman" w:eastAsia="맑은 고딕" w:hAnsi="Times New Roman"/>
          <w:szCs w:val="20"/>
          <w:lang w:val="en-US" w:eastAsia="ko-KR"/>
        </w:rPr>
        <w:t xml:space="preserve"> </w:t>
      </w:r>
      <w:r w:rsidR="00E678A6" w:rsidRPr="004B4C03">
        <w:rPr>
          <w:rFonts w:ascii="Times New Roman" w:eastAsia="맑은 고딕" w:hAnsi="Times New Roman"/>
          <w:szCs w:val="20"/>
          <w:lang w:val="en-US" w:eastAsia="ko-KR"/>
        </w:rPr>
        <w:t xml:space="preserve">RF BW depending on the transition from or to 1st RF BW. A UE can by default assume that certain locations in the time-frequency grid may be allotted for the same. Since this bandwidth adaptation is UE specific, and these reference signals are not always ON, the gNB has to ensure that the other users’ allocation will not consider these time-frequency locations, at least during the short time interval where these RS are present. RAN1 needs more inputs from RAN4 </w:t>
      </w:r>
      <w:r w:rsidR="00A243B6" w:rsidRPr="004B4C03">
        <w:rPr>
          <w:rFonts w:ascii="Times New Roman" w:eastAsia="맑은 고딕" w:hAnsi="Times New Roman"/>
          <w:szCs w:val="20"/>
          <w:lang w:val="en-US" w:eastAsia="ko-KR"/>
        </w:rPr>
        <w:t>on the type of RS, BW of the RS, time duration of the RS that is</w:t>
      </w:r>
      <w:r w:rsidR="00E678A6" w:rsidRPr="004B4C03">
        <w:rPr>
          <w:rFonts w:ascii="Times New Roman" w:eastAsia="맑은 고딕" w:hAnsi="Times New Roman"/>
          <w:szCs w:val="20"/>
          <w:lang w:val="en-US" w:eastAsia="ko-KR"/>
        </w:rPr>
        <w:t xml:space="preserve"> sufficient for AGC settling purposes after BW </w:t>
      </w:r>
      <w:r w:rsidR="004C78B6" w:rsidRPr="004B4C03">
        <w:rPr>
          <w:rFonts w:ascii="Times New Roman" w:eastAsia="맑은 고딕" w:hAnsi="Times New Roman"/>
          <w:szCs w:val="20"/>
          <w:lang w:val="en-US" w:eastAsia="ko-KR"/>
        </w:rPr>
        <w:t>adaptation</w:t>
      </w:r>
      <w:r w:rsidR="00E678A6" w:rsidRPr="004B4C03">
        <w:rPr>
          <w:rFonts w:ascii="Times New Roman" w:eastAsia="맑은 고딕" w:hAnsi="Times New Roman"/>
          <w:szCs w:val="20"/>
          <w:lang w:val="en-US" w:eastAsia="ko-KR"/>
        </w:rPr>
        <w:t xml:space="preserve">. </w:t>
      </w:r>
    </w:p>
    <w:p w14:paraId="79E9C10E" w14:textId="387B41BE" w:rsidR="00E678A6" w:rsidRPr="004B4C03" w:rsidRDefault="00E678A6" w:rsidP="00EA28FB">
      <w:pPr>
        <w:pStyle w:val="ae"/>
        <w:spacing w:line="288" w:lineRule="auto"/>
        <w:rPr>
          <w:rFonts w:ascii="Times New Roman" w:eastAsia="맑은 고딕" w:hAnsi="Times New Roman"/>
          <w:b/>
          <w:i/>
          <w:szCs w:val="20"/>
          <w:lang w:val="en-US" w:eastAsia="ko-KR"/>
        </w:rPr>
      </w:pPr>
      <w:r w:rsidRPr="004B4C03">
        <w:rPr>
          <w:rFonts w:ascii="Times New Roman" w:eastAsia="맑은 고딕" w:hAnsi="Times New Roman"/>
          <w:b/>
          <w:i/>
          <w:szCs w:val="20"/>
          <w:lang w:val="en-US" w:eastAsia="ko-KR"/>
        </w:rPr>
        <w:t>Observation</w:t>
      </w:r>
      <w:r w:rsidR="00807372">
        <w:rPr>
          <w:rFonts w:ascii="Times New Roman" w:eastAsia="맑은 고딕" w:hAnsi="Times New Roman"/>
          <w:b/>
          <w:i/>
          <w:szCs w:val="20"/>
          <w:lang w:val="en-US" w:eastAsia="ko-KR"/>
        </w:rPr>
        <w:t xml:space="preserve"> 1</w:t>
      </w:r>
      <w:r w:rsidR="00537F4D">
        <w:rPr>
          <w:rFonts w:ascii="Times New Roman" w:eastAsia="맑은 고딕" w:hAnsi="Times New Roman"/>
          <w:b/>
          <w:i/>
          <w:szCs w:val="20"/>
          <w:lang w:val="en-US" w:eastAsia="ko-KR"/>
        </w:rPr>
        <w:t>0</w:t>
      </w:r>
      <w:r w:rsidRPr="004B4C03">
        <w:rPr>
          <w:rFonts w:ascii="Times New Roman" w:eastAsia="맑은 고딕" w:hAnsi="Times New Roman"/>
          <w:b/>
          <w:i/>
          <w:szCs w:val="20"/>
          <w:lang w:val="en-US" w:eastAsia="ko-KR"/>
        </w:rPr>
        <w:t xml:space="preserve">: AGC settling RS are beneficial for inter-band BW </w:t>
      </w:r>
      <w:r w:rsidR="004C78B6" w:rsidRPr="004B4C03">
        <w:rPr>
          <w:rFonts w:ascii="Times New Roman" w:eastAsia="맑은 고딕" w:hAnsi="Times New Roman"/>
          <w:b/>
          <w:i/>
          <w:szCs w:val="20"/>
          <w:lang w:val="en-US" w:eastAsia="ko-KR"/>
        </w:rPr>
        <w:t>adaptation</w:t>
      </w:r>
      <w:r w:rsidRPr="004B4C03">
        <w:rPr>
          <w:rFonts w:ascii="Times New Roman" w:eastAsia="맑은 고딕" w:hAnsi="Times New Roman"/>
          <w:b/>
          <w:i/>
          <w:szCs w:val="20"/>
          <w:lang w:val="en-US" w:eastAsia="ko-KR"/>
        </w:rPr>
        <w:t xml:space="preserve">. </w:t>
      </w:r>
    </w:p>
    <w:p w14:paraId="636897A5" w14:textId="49EE5E71" w:rsidR="00E678A6" w:rsidRPr="004B4C03" w:rsidRDefault="00E678A6" w:rsidP="00EA28FB">
      <w:pPr>
        <w:pStyle w:val="ae"/>
        <w:spacing w:line="288" w:lineRule="auto"/>
        <w:rPr>
          <w:rFonts w:ascii="Times New Roman" w:eastAsia="맑은 고딕" w:hAnsi="Times New Roman"/>
          <w:b/>
          <w:szCs w:val="20"/>
          <w:u w:val="single"/>
          <w:lang w:val="en-US" w:eastAsia="ko-KR"/>
        </w:rPr>
      </w:pPr>
      <w:r w:rsidRPr="004B4C03">
        <w:rPr>
          <w:rFonts w:ascii="Times New Roman" w:eastAsia="맑은 고딕" w:hAnsi="Times New Roman"/>
          <w:b/>
          <w:szCs w:val="20"/>
          <w:u w:val="single"/>
          <w:lang w:val="en-US" w:eastAsia="ko-KR"/>
        </w:rPr>
        <w:t xml:space="preserve">BW </w:t>
      </w:r>
      <w:r w:rsidR="004C78B6" w:rsidRPr="004B4C03">
        <w:rPr>
          <w:rFonts w:ascii="Times New Roman" w:eastAsia="맑은 고딕" w:hAnsi="Times New Roman"/>
          <w:b/>
          <w:szCs w:val="20"/>
          <w:u w:val="single"/>
          <w:lang w:val="en-US" w:eastAsia="ko-KR"/>
        </w:rPr>
        <w:t>Adaptation</w:t>
      </w:r>
      <w:r w:rsidRPr="004B4C03">
        <w:rPr>
          <w:rFonts w:ascii="Times New Roman" w:eastAsia="맑은 고딕" w:hAnsi="Times New Roman"/>
          <w:b/>
          <w:szCs w:val="20"/>
          <w:u w:val="single"/>
          <w:lang w:val="en-US" w:eastAsia="ko-KR"/>
        </w:rPr>
        <w:t xml:space="preserve"> Timeline</w:t>
      </w:r>
    </w:p>
    <w:p w14:paraId="4AAB0FA4" w14:textId="39508634" w:rsidR="00E678A6" w:rsidRPr="004B4C03" w:rsidRDefault="00444E6D" w:rsidP="00EA28FB">
      <w:pPr>
        <w:pStyle w:val="ae"/>
        <w:spacing w:line="288" w:lineRule="auto"/>
        <w:rPr>
          <w:rFonts w:ascii="Times New Roman" w:eastAsia="맑은 고딕" w:hAnsi="Times New Roman"/>
          <w:szCs w:val="20"/>
          <w:lang w:val="en-US" w:eastAsia="ko-KR"/>
        </w:rPr>
      </w:pPr>
      <w:r>
        <w:rPr>
          <w:rFonts w:ascii="Times New Roman" w:eastAsia="맑은 고딕" w:hAnsi="Times New Roman"/>
          <w:szCs w:val="20"/>
          <w:lang w:val="en-US" w:eastAsia="ko-KR"/>
        </w:rPr>
        <w:t>As p</w:t>
      </w:r>
      <w:r w:rsidR="00E678A6" w:rsidRPr="004B4C03">
        <w:rPr>
          <w:rFonts w:ascii="Times New Roman" w:eastAsia="맑은 고딕" w:hAnsi="Times New Roman"/>
          <w:szCs w:val="20"/>
          <w:lang w:val="en-US" w:eastAsia="ko-KR"/>
        </w:rPr>
        <w:t xml:space="preserve">er the RAN4 agreement, </w:t>
      </w:r>
      <w:r w:rsidR="0026156C" w:rsidRPr="004B4C03">
        <w:rPr>
          <w:rFonts w:ascii="Times New Roman" w:eastAsia="맑은 고딕" w:hAnsi="Times New Roman"/>
          <w:szCs w:val="20"/>
          <w:lang w:val="en-US" w:eastAsia="ko-KR"/>
        </w:rPr>
        <w:t xml:space="preserve">up to </w:t>
      </w:r>
      <w:r w:rsidR="00E678A6" w:rsidRPr="004B4C03">
        <w:rPr>
          <w:rFonts w:ascii="Times New Roman" w:eastAsia="맑은 고딕" w:hAnsi="Times New Roman"/>
          <w:szCs w:val="20"/>
          <w:lang w:val="en-US" w:eastAsia="ko-KR"/>
        </w:rPr>
        <w:t xml:space="preserve">20us, 50-200us and </w:t>
      </w:r>
      <w:r w:rsidR="0026156C" w:rsidRPr="004B4C03">
        <w:rPr>
          <w:rFonts w:ascii="Times New Roman" w:eastAsia="맑은 고딕" w:hAnsi="Times New Roman"/>
          <w:szCs w:val="20"/>
          <w:lang w:val="en-US" w:eastAsia="ko-KR"/>
        </w:rPr>
        <w:t xml:space="preserve">up to </w:t>
      </w:r>
      <w:r w:rsidR="00E678A6" w:rsidRPr="004B4C03">
        <w:rPr>
          <w:rFonts w:ascii="Times New Roman" w:eastAsia="맑은 고딕" w:hAnsi="Times New Roman"/>
          <w:szCs w:val="20"/>
          <w:lang w:val="en-US" w:eastAsia="ko-KR"/>
        </w:rPr>
        <w:t xml:space="preserve">900us are needed respectively for intra-band same center frequency, intra-band different center frequency and inter-band bandwidth adaptation. For example, when 60 kHz numerology is used in above 6 GHz spectrum, the symbol duration is 16.67 us. In such cases, </w:t>
      </w:r>
      <w:r w:rsidR="00516EBF" w:rsidRPr="004B4C03">
        <w:rPr>
          <w:rFonts w:ascii="Times New Roman" w:eastAsia="맑은 고딕" w:hAnsi="Times New Roman"/>
          <w:szCs w:val="20"/>
          <w:lang w:val="en-US" w:eastAsia="ko-KR"/>
        </w:rPr>
        <w:t>the transition time</w:t>
      </w:r>
      <w:r w:rsidR="00E678A6" w:rsidRPr="004B4C03">
        <w:rPr>
          <w:rFonts w:ascii="Times New Roman" w:eastAsia="맑은 고딕" w:hAnsi="Times New Roman"/>
          <w:szCs w:val="20"/>
          <w:lang w:val="en-US" w:eastAsia="ko-KR"/>
        </w:rPr>
        <w:t xml:space="preserve"> </w:t>
      </w:r>
      <w:r w:rsidR="00376778">
        <w:rPr>
          <w:rFonts w:ascii="Times New Roman" w:eastAsia="맑은 고딕" w:hAnsi="Times New Roman"/>
          <w:szCs w:val="20"/>
          <w:lang w:val="en-US" w:eastAsia="ko-KR"/>
        </w:rPr>
        <w:t xml:space="preserve">for </w:t>
      </w:r>
      <w:r w:rsidR="004C78B6" w:rsidRPr="004B4C03">
        <w:rPr>
          <w:rFonts w:ascii="Times New Roman" w:eastAsia="맑은 고딕" w:hAnsi="Times New Roman"/>
          <w:szCs w:val="20"/>
          <w:lang w:val="en-US" w:eastAsia="ko-KR"/>
        </w:rPr>
        <w:t>adaptation</w:t>
      </w:r>
      <w:r w:rsidR="00E678A6" w:rsidRPr="004B4C03">
        <w:rPr>
          <w:rFonts w:ascii="Times New Roman" w:eastAsia="맑은 고딕" w:hAnsi="Times New Roman"/>
          <w:szCs w:val="20"/>
          <w:lang w:val="en-US" w:eastAsia="ko-KR"/>
        </w:rPr>
        <w:t xml:space="preserve"> </w:t>
      </w:r>
      <w:r w:rsidR="00FD1CC7" w:rsidRPr="004B4C03">
        <w:rPr>
          <w:rFonts w:ascii="Times New Roman" w:eastAsia="맑은 고딕" w:hAnsi="Times New Roman"/>
          <w:szCs w:val="20"/>
          <w:lang w:val="en-US" w:eastAsia="ko-KR"/>
        </w:rPr>
        <w:t xml:space="preserve">may </w:t>
      </w:r>
      <w:r w:rsidR="00516EBF" w:rsidRPr="004B4C03">
        <w:rPr>
          <w:rFonts w:ascii="Times New Roman" w:eastAsia="맑은 고딕" w:hAnsi="Times New Roman"/>
          <w:szCs w:val="20"/>
          <w:lang w:val="en-US" w:eastAsia="ko-KR"/>
        </w:rPr>
        <w:t>fall within a few symbols depending on both RF and baseband aspects for bandwidth adaptation</w:t>
      </w:r>
      <w:r w:rsidR="00376778">
        <w:rPr>
          <w:rFonts w:ascii="Times New Roman" w:eastAsia="맑은 고딕" w:hAnsi="Times New Roman"/>
          <w:szCs w:val="20"/>
          <w:lang w:val="en-US" w:eastAsia="ko-KR"/>
        </w:rPr>
        <w:t>.</w:t>
      </w:r>
      <w:r w:rsidR="00E678A6" w:rsidRPr="004B4C03">
        <w:rPr>
          <w:rFonts w:ascii="Times New Roman" w:eastAsia="맑은 고딕" w:hAnsi="Times New Roman"/>
          <w:szCs w:val="20"/>
          <w:lang w:val="en-US" w:eastAsia="ko-KR"/>
        </w:rPr>
        <w:t xml:space="preserve"> Hence, based on the numerology being used, the NW can indicate the UE to adjust its BW (of course depending on the available resources). In addition, other baseband aspects such as AGC settling (mentioned above), waiting time for slot boundary alignment etc need to be considered when addressing the BW </w:t>
      </w:r>
      <w:r w:rsidR="004C78B6" w:rsidRPr="004B4C03">
        <w:rPr>
          <w:rFonts w:ascii="Times New Roman" w:eastAsia="맑은 고딕" w:hAnsi="Times New Roman"/>
          <w:szCs w:val="20"/>
          <w:lang w:val="en-US" w:eastAsia="ko-KR"/>
        </w:rPr>
        <w:t>adaptation</w:t>
      </w:r>
      <w:r w:rsidR="00E678A6" w:rsidRPr="004B4C03">
        <w:rPr>
          <w:rFonts w:ascii="Times New Roman" w:eastAsia="맑은 고딕" w:hAnsi="Times New Roman"/>
          <w:szCs w:val="20"/>
          <w:lang w:val="en-US" w:eastAsia="ko-KR"/>
        </w:rPr>
        <w:t xml:space="preserve"> timeline. More discussions about this can be found in </w:t>
      </w:r>
      <w:r w:rsidR="00807372">
        <w:rPr>
          <w:rFonts w:ascii="Times New Roman" w:eastAsia="맑은 고딕" w:hAnsi="Times New Roman"/>
          <w:szCs w:val="20"/>
          <w:lang w:val="en-US" w:eastAsia="ko-KR"/>
        </w:rPr>
        <w:t>a</w:t>
      </w:r>
      <w:r w:rsidR="00E678A6" w:rsidRPr="004B4C03">
        <w:rPr>
          <w:rFonts w:ascii="Times New Roman" w:eastAsia="맑은 고딕" w:hAnsi="Times New Roman"/>
          <w:szCs w:val="20"/>
          <w:lang w:val="en-US" w:eastAsia="ko-KR"/>
        </w:rPr>
        <w:t xml:space="preserve"> companion </w:t>
      </w:r>
      <w:r w:rsidR="00376778">
        <w:rPr>
          <w:rFonts w:ascii="Times New Roman" w:eastAsia="맑은 고딕" w:hAnsi="Times New Roman"/>
          <w:szCs w:val="20"/>
          <w:lang w:val="en-US" w:eastAsia="ko-KR"/>
        </w:rPr>
        <w:t>contribution</w:t>
      </w:r>
      <w:r w:rsidR="00376778" w:rsidRPr="004B4C03">
        <w:rPr>
          <w:rFonts w:ascii="Times New Roman" w:eastAsia="맑은 고딕" w:hAnsi="Times New Roman"/>
          <w:szCs w:val="20"/>
          <w:lang w:val="en-US" w:eastAsia="ko-KR"/>
        </w:rPr>
        <w:t xml:space="preserve"> </w:t>
      </w:r>
      <w:r w:rsidR="00E678A6" w:rsidRPr="004B4C03">
        <w:rPr>
          <w:rFonts w:ascii="Times New Roman" w:eastAsia="맑은 고딕" w:hAnsi="Times New Roman"/>
          <w:szCs w:val="20"/>
          <w:lang w:val="en-US" w:eastAsia="ko-KR"/>
        </w:rPr>
        <w:t>[</w:t>
      </w:r>
      <w:r w:rsidR="00F43492" w:rsidRPr="004B4C03">
        <w:rPr>
          <w:rFonts w:ascii="Times New Roman" w:eastAsia="맑은 고딕" w:hAnsi="Times New Roman"/>
          <w:szCs w:val="20"/>
          <w:lang w:val="en-US" w:eastAsia="ko-KR"/>
        </w:rPr>
        <w:t>5</w:t>
      </w:r>
      <w:r w:rsidR="00E678A6" w:rsidRPr="004B4C03">
        <w:rPr>
          <w:rFonts w:ascii="Times New Roman" w:eastAsia="맑은 고딕" w:hAnsi="Times New Roman"/>
          <w:szCs w:val="20"/>
          <w:lang w:val="en-US" w:eastAsia="ko-KR"/>
        </w:rPr>
        <w:t>].</w:t>
      </w:r>
    </w:p>
    <w:p w14:paraId="217BA5F0" w14:textId="6B95E7B1" w:rsidR="00425252" w:rsidRPr="004B4C03" w:rsidRDefault="00425252" w:rsidP="00EA28FB">
      <w:pPr>
        <w:pStyle w:val="ae"/>
        <w:spacing w:line="288" w:lineRule="auto"/>
        <w:rPr>
          <w:b/>
          <w:i/>
          <w:lang w:val="en-US" w:eastAsia="ko-KR"/>
        </w:rPr>
      </w:pPr>
      <w:r w:rsidRPr="004B4C03">
        <w:rPr>
          <w:rFonts w:ascii="Times New Roman" w:eastAsia="맑은 고딕" w:hAnsi="Times New Roman"/>
          <w:b/>
          <w:i/>
          <w:szCs w:val="20"/>
          <w:lang w:val="en-US" w:eastAsia="ko-KR"/>
        </w:rPr>
        <w:t>Observation</w:t>
      </w:r>
      <w:r w:rsidR="00807372">
        <w:rPr>
          <w:rFonts w:ascii="Times New Roman" w:eastAsia="맑은 고딕" w:hAnsi="Times New Roman"/>
          <w:b/>
          <w:i/>
          <w:szCs w:val="20"/>
          <w:lang w:val="en-US" w:eastAsia="ko-KR"/>
        </w:rPr>
        <w:t xml:space="preserve"> </w:t>
      </w:r>
      <w:r w:rsidR="00537F4D">
        <w:rPr>
          <w:rFonts w:ascii="Times New Roman" w:eastAsia="맑은 고딕" w:hAnsi="Times New Roman"/>
          <w:b/>
          <w:i/>
          <w:szCs w:val="20"/>
          <w:lang w:val="en-US" w:eastAsia="ko-KR"/>
        </w:rPr>
        <w:t>11</w:t>
      </w:r>
      <w:r w:rsidRPr="004B4C03">
        <w:rPr>
          <w:rFonts w:ascii="Times New Roman" w:eastAsia="맑은 고딕" w:hAnsi="Times New Roman"/>
          <w:b/>
          <w:i/>
          <w:szCs w:val="20"/>
          <w:lang w:val="en-US" w:eastAsia="ko-KR"/>
        </w:rPr>
        <w:t xml:space="preserve">: The BW </w:t>
      </w:r>
      <w:r w:rsidR="004C78B6" w:rsidRPr="004B4C03">
        <w:rPr>
          <w:rFonts w:ascii="Times New Roman" w:eastAsia="맑은 고딕" w:hAnsi="Times New Roman"/>
          <w:b/>
          <w:i/>
          <w:szCs w:val="20"/>
          <w:lang w:val="en-US" w:eastAsia="ko-KR"/>
        </w:rPr>
        <w:t>adaptation</w:t>
      </w:r>
      <w:r w:rsidRPr="004B4C03">
        <w:rPr>
          <w:rFonts w:ascii="Times New Roman" w:eastAsia="맑은 고딕" w:hAnsi="Times New Roman"/>
          <w:b/>
          <w:i/>
          <w:szCs w:val="20"/>
          <w:lang w:val="en-US" w:eastAsia="ko-KR"/>
        </w:rPr>
        <w:t xml:space="preserve"> timeline depends on the numerology being used and whether the </w:t>
      </w:r>
      <w:r w:rsidR="004C78B6" w:rsidRPr="004B4C03">
        <w:rPr>
          <w:rFonts w:ascii="Times New Roman" w:eastAsia="맑은 고딕" w:hAnsi="Times New Roman"/>
          <w:b/>
          <w:i/>
          <w:szCs w:val="20"/>
          <w:lang w:val="en-US" w:eastAsia="ko-KR"/>
        </w:rPr>
        <w:t>adaptation</w:t>
      </w:r>
      <w:r w:rsidRPr="004B4C03">
        <w:rPr>
          <w:rFonts w:ascii="Times New Roman" w:eastAsia="맑은 고딕" w:hAnsi="Times New Roman"/>
          <w:b/>
          <w:i/>
          <w:szCs w:val="20"/>
          <w:lang w:val="en-US" w:eastAsia="ko-KR"/>
        </w:rPr>
        <w:t xml:space="preserve"> is within the band or across bands.</w:t>
      </w:r>
    </w:p>
    <w:p w14:paraId="724DB60D" w14:textId="3ED1079D" w:rsidR="00202451" w:rsidRPr="0057205B" w:rsidRDefault="00E678A6" w:rsidP="00A417CA">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Summary</w:t>
      </w:r>
    </w:p>
    <w:p w14:paraId="1B7E48E9" w14:textId="2D077853" w:rsidR="00C51967" w:rsidRDefault="00534C3C" w:rsidP="00A417CA">
      <w:pPr>
        <w:spacing w:after="0" w:line="288" w:lineRule="auto"/>
        <w:jc w:val="both"/>
        <w:rPr>
          <w:color w:val="000000" w:themeColor="text1"/>
          <w:lang w:eastAsia="ko-KR"/>
        </w:rPr>
      </w:pPr>
      <w:r>
        <w:rPr>
          <w:color w:val="000000" w:themeColor="text1"/>
          <w:lang w:eastAsia="ko-KR"/>
        </w:rPr>
        <w:t>Based on above discussion</w:t>
      </w:r>
      <w:r w:rsidR="004C78B6">
        <w:rPr>
          <w:color w:val="000000" w:themeColor="text1"/>
          <w:lang w:eastAsia="ko-KR"/>
        </w:rPr>
        <w:t xml:space="preserve"> for NR wider bandwidth operations</w:t>
      </w:r>
      <w:r>
        <w:rPr>
          <w:color w:val="000000" w:themeColor="text1"/>
          <w:lang w:eastAsia="ko-KR"/>
        </w:rPr>
        <w:t>, we have following observations and proposals:</w:t>
      </w:r>
    </w:p>
    <w:p w14:paraId="76F78493" w14:textId="77777777" w:rsidR="00376778" w:rsidRDefault="00376778" w:rsidP="00376778">
      <w:pPr>
        <w:spacing w:line="288" w:lineRule="auto"/>
        <w:jc w:val="both"/>
        <w:rPr>
          <w:b/>
          <w:i/>
          <w:lang w:val="en-US" w:eastAsia="ko-KR"/>
        </w:rPr>
      </w:pPr>
    </w:p>
    <w:p w14:paraId="51CADAD4" w14:textId="77777777" w:rsidR="00376778" w:rsidRDefault="00376778" w:rsidP="00376778">
      <w:pPr>
        <w:spacing w:line="288" w:lineRule="auto"/>
        <w:jc w:val="both"/>
        <w:rPr>
          <w:b/>
          <w:i/>
          <w:lang w:val="en-US" w:eastAsia="ko-KR"/>
        </w:rPr>
      </w:pPr>
      <w:r w:rsidRPr="005C6CB0">
        <w:rPr>
          <w:b/>
          <w:i/>
          <w:lang w:val="en-US" w:eastAsia="ko-KR"/>
        </w:rPr>
        <w:t>Observation</w:t>
      </w:r>
      <w:r>
        <w:rPr>
          <w:b/>
          <w:i/>
          <w:lang w:val="en-US" w:eastAsia="ko-KR"/>
        </w:rPr>
        <w:t xml:space="preserve"> 1</w:t>
      </w:r>
      <w:r w:rsidRPr="005C6CB0">
        <w:rPr>
          <w:b/>
          <w:i/>
          <w:lang w:val="en-US" w:eastAsia="ko-KR"/>
        </w:rPr>
        <w:t xml:space="preserve">: From implementation perspective, the candidate maximum FFT size (e.g., 4096, 8192) </w:t>
      </w:r>
      <w:r>
        <w:rPr>
          <w:b/>
          <w:i/>
          <w:lang w:val="en-US" w:eastAsia="ko-KR"/>
        </w:rPr>
        <w:t>i</w:t>
      </w:r>
      <w:r w:rsidRPr="005C6CB0">
        <w:rPr>
          <w:b/>
          <w:i/>
          <w:lang w:val="en-US" w:eastAsia="ko-KR"/>
        </w:rPr>
        <w:t xml:space="preserve">s not </w:t>
      </w:r>
      <w:r>
        <w:rPr>
          <w:b/>
          <w:i/>
          <w:lang w:val="en-US" w:eastAsia="ko-KR"/>
        </w:rPr>
        <w:t xml:space="preserve">a </w:t>
      </w:r>
      <w:r w:rsidRPr="005C6CB0">
        <w:rPr>
          <w:b/>
          <w:i/>
          <w:lang w:val="en-US" w:eastAsia="ko-KR"/>
        </w:rPr>
        <w:t>limiting factor</w:t>
      </w:r>
      <w:r>
        <w:rPr>
          <w:b/>
          <w:i/>
          <w:lang w:val="en-US" w:eastAsia="ko-KR"/>
        </w:rPr>
        <w:t>.</w:t>
      </w:r>
    </w:p>
    <w:p w14:paraId="6F1B890C" w14:textId="77777777" w:rsidR="00376778" w:rsidRDefault="00376778" w:rsidP="00376778">
      <w:pPr>
        <w:spacing w:line="288" w:lineRule="auto"/>
        <w:jc w:val="both"/>
        <w:rPr>
          <w:b/>
          <w:i/>
          <w:lang w:val="en-US" w:eastAsia="ko-KR"/>
        </w:rPr>
      </w:pPr>
      <w:r w:rsidRPr="006F4DED">
        <w:rPr>
          <w:b/>
          <w:i/>
          <w:lang w:val="en-US" w:eastAsia="ko-KR"/>
        </w:rPr>
        <w:t>O</w:t>
      </w:r>
      <w:r w:rsidRPr="006F4DED">
        <w:rPr>
          <w:rFonts w:hint="eastAsia"/>
          <w:b/>
          <w:i/>
          <w:lang w:val="en-US" w:eastAsia="ko-KR"/>
        </w:rPr>
        <w:t xml:space="preserve">bservation </w:t>
      </w:r>
      <w:r w:rsidRPr="006F4DED">
        <w:rPr>
          <w:b/>
          <w:i/>
          <w:lang w:val="en-US" w:eastAsia="ko-KR"/>
        </w:rPr>
        <w:t>2</w:t>
      </w:r>
      <w:r w:rsidRPr="006F4DED">
        <w:rPr>
          <w:rFonts w:hint="eastAsia"/>
          <w:b/>
          <w:i/>
          <w:lang w:val="en-US" w:eastAsia="ko-KR"/>
        </w:rPr>
        <w:t xml:space="preserve">: To support 100MHz </w:t>
      </w:r>
      <w:r>
        <w:rPr>
          <w:b/>
          <w:i/>
          <w:lang w:val="en-US" w:eastAsia="ko-KR"/>
        </w:rPr>
        <w:t xml:space="preserve">channel </w:t>
      </w:r>
      <w:r w:rsidRPr="006F4DED">
        <w:rPr>
          <w:rFonts w:hint="eastAsia"/>
          <w:b/>
          <w:i/>
          <w:lang w:val="en-US" w:eastAsia="ko-KR"/>
        </w:rPr>
        <w:t>bandwidth with 15</w:t>
      </w:r>
      <w:r w:rsidRPr="006F4DED">
        <w:rPr>
          <w:b/>
          <w:i/>
          <w:lang w:val="en-US" w:eastAsia="ko-KR"/>
        </w:rPr>
        <w:t xml:space="preserve"> </w:t>
      </w:r>
      <w:r w:rsidRPr="006F4DED">
        <w:rPr>
          <w:rFonts w:hint="eastAsia"/>
          <w:b/>
          <w:i/>
          <w:lang w:val="en-US" w:eastAsia="ko-KR"/>
        </w:rPr>
        <w:t>kHz SCS, 8192 FFT size is necessary.</w:t>
      </w:r>
    </w:p>
    <w:p w14:paraId="747574FB" w14:textId="77777777" w:rsidR="00376778" w:rsidRDefault="00376778" w:rsidP="00376778">
      <w:pPr>
        <w:spacing w:before="240" w:line="288" w:lineRule="auto"/>
        <w:jc w:val="both"/>
        <w:rPr>
          <w:b/>
          <w:i/>
          <w:lang w:val="en-US" w:eastAsia="ko-KR"/>
        </w:rPr>
      </w:pPr>
      <w:r w:rsidRPr="006F4DED">
        <w:rPr>
          <w:rFonts w:hint="eastAsia"/>
          <w:b/>
          <w:i/>
          <w:lang w:val="en-US" w:eastAsia="ko-KR"/>
        </w:rPr>
        <w:t xml:space="preserve">Observation </w:t>
      </w:r>
      <w:r w:rsidRPr="006F4DED">
        <w:rPr>
          <w:b/>
          <w:i/>
          <w:lang w:val="en-US" w:eastAsia="ko-KR"/>
        </w:rPr>
        <w:t>3</w:t>
      </w:r>
      <w:r w:rsidRPr="006F4DED">
        <w:rPr>
          <w:rFonts w:hint="eastAsia"/>
          <w:b/>
          <w:i/>
          <w:lang w:val="en-US" w:eastAsia="ko-KR"/>
        </w:rPr>
        <w:t xml:space="preserve">: According to mixing ratio and CBW for mixed numerology, </w:t>
      </w:r>
      <w:r w:rsidRPr="006F4DED">
        <w:rPr>
          <w:b/>
          <w:i/>
          <w:lang w:val="en-US" w:eastAsia="ko-KR"/>
        </w:rPr>
        <w:t>not</w:t>
      </w:r>
      <w:r w:rsidRPr="006F4DED">
        <w:rPr>
          <w:rFonts w:hint="eastAsia"/>
          <w:b/>
          <w:i/>
          <w:lang w:val="en-US" w:eastAsia="ko-KR"/>
        </w:rPr>
        <w:t xml:space="preserve"> all combination of SCS is </w:t>
      </w:r>
      <w:r w:rsidRPr="006F4DED">
        <w:rPr>
          <w:b/>
          <w:i/>
          <w:lang w:val="en-US" w:eastAsia="ko-KR"/>
        </w:rPr>
        <w:t>possible from an implementation perspective</w:t>
      </w:r>
      <w:r w:rsidRPr="006F4DED">
        <w:rPr>
          <w:rFonts w:hint="eastAsia"/>
          <w:b/>
          <w:i/>
          <w:lang w:val="en-US" w:eastAsia="ko-KR"/>
        </w:rPr>
        <w:t>.</w:t>
      </w:r>
    </w:p>
    <w:p w14:paraId="7A0F7746" w14:textId="77777777" w:rsidR="00376778" w:rsidRDefault="00376778" w:rsidP="00376778">
      <w:pPr>
        <w:pStyle w:val="ae"/>
        <w:spacing w:line="288" w:lineRule="auto"/>
        <w:rPr>
          <w:b/>
        </w:rPr>
      </w:pPr>
      <w:r w:rsidRPr="00A417CA">
        <w:rPr>
          <w:b/>
          <w:i/>
        </w:rPr>
        <w:t>Observation</w:t>
      </w:r>
      <w:r>
        <w:rPr>
          <w:b/>
          <w:i/>
        </w:rPr>
        <w:t xml:space="preserve"> 4</w:t>
      </w:r>
      <w:r w:rsidRPr="00A417CA">
        <w:rPr>
          <w:b/>
          <w:i/>
        </w:rPr>
        <w:t>: There is a trade off in terms of flexibility and signalling overhead between a) sharing 1</w:t>
      </w:r>
      <w:r w:rsidRPr="00A417CA">
        <w:rPr>
          <w:b/>
          <w:i/>
          <w:vertAlign w:val="superscript"/>
        </w:rPr>
        <w:t>st</w:t>
      </w:r>
      <w:r w:rsidRPr="00A417CA">
        <w:rPr>
          <w:b/>
          <w:i/>
        </w:rPr>
        <w:t xml:space="preserve"> RF BW across UEs with a common location for monitoring UE-common information and b) dedicated 1</w:t>
      </w:r>
      <w:r w:rsidRPr="00A417CA">
        <w:rPr>
          <w:b/>
          <w:i/>
          <w:vertAlign w:val="superscript"/>
        </w:rPr>
        <w:t>st</w:t>
      </w:r>
      <w:r w:rsidRPr="00A417CA">
        <w:rPr>
          <w:b/>
          <w:i/>
        </w:rPr>
        <w:t xml:space="preserve"> RF BW location for some UEs and replication of UE-common information. </w:t>
      </w:r>
    </w:p>
    <w:p w14:paraId="462ED62D" w14:textId="77777777" w:rsidR="00376778" w:rsidRDefault="00376778" w:rsidP="00376778">
      <w:pPr>
        <w:pStyle w:val="ae"/>
        <w:spacing w:line="288" w:lineRule="auto"/>
        <w:rPr>
          <w:b/>
          <w:i/>
        </w:rPr>
      </w:pPr>
      <w:r w:rsidRPr="00A417CA">
        <w:rPr>
          <w:b/>
          <w:i/>
        </w:rPr>
        <w:t>Observation</w:t>
      </w:r>
      <w:r>
        <w:rPr>
          <w:b/>
          <w:i/>
        </w:rPr>
        <w:t xml:space="preserve"> 5</w:t>
      </w:r>
      <w:r w:rsidRPr="00A417CA">
        <w:rPr>
          <w:b/>
          <w:i/>
        </w:rPr>
        <w:t>: UE hardware aspects, such as RF BW, and the numerology in a given frequency band are important factors in determining a BW that can supported for single-carrier operation on the 2</w:t>
      </w:r>
      <w:r w:rsidRPr="00A417CA">
        <w:rPr>
          <w:b/>
          <w:i/>
          <w:vertAlign w:val="superscript"/>
        </w:rPr>
        <w:t>nd</w:t>
      </w:r>
      <w:r w:rsidRPr="00A417CA">
        <w:rPr>
          <w:b/>
          <w:i/>
        </w:rPr>
        <w:t xml:space="preserve"> RF BW.</w:t>
      </w:r>
    </w:p>
    <w:p w14:paraId="310AE515" w14:textId="77777777" w:rsidR="00376778" w:rsidRDefault="00376778" w:rsidP="00376778">
      <w:pPr>
        <w:pStyle w:val="ae"/>
        <w:spacing w:line="288" w:lineRule="auto"/>
        <w:rPr>
          <w:b/>
          <w:i/>
        </w:rPr>
      </w:pPr>
      <w:r w:rsidRPr="00A417CA">
        <w:rPr>
          <w:b/>
          <w:i/>
        </w:rPr>
        <w:t>Observation</w:t>
      </w:r>
      <w:r>
        <w:rPr>
          <w:b/>
          <w:i/>
        </w:rPr>
        <w:t xml:space="preserve"> 6</w:t>
      </w:r>
      <w:r w:rsidRPr="00A417CA">
        <w:rPr>
          <w:b/>
          <w:i/>
        </w:rPr>
        <w:t xml:space="preserve">: RRM BW </w:t>
      </w:r>
      <w:r>
        <w:rPr>
          <w:b/>
          <w:i/>
        </w:rPr>
        <w:t xml:space="preserve">is </w:t>
      </w:r>
      <w:r w:rsidRPr="005A5BF9">
        <w:rPr>
          <w:b/>
          <w:i/>
        </w:rPr>
        <w:t>determined by either NR-SSS transmission bandwidth or CSI-RS transmission bandwidth.</w:t>
      </w:r>
    </w:p>
    <w:p w14:paraId="451704FD" w14:textId="77777777" w:rsidR="00376778" w:rsidRPr="00A417CA" w:rsidRDefault="00376778" w:rsidP="00376778">
      <w:pPr>
        <w:pStyle w:val="ae"/>
        <w:spacing w:line="288" w:lineRule="auto"/>
        <w:rPr>
          <w:b/>
          <w:i/>
        </w:rPr>
      </w:pPr>
      <w:r w:rsidRPr="00A417CA">
        <w:rPr>
          <w:b/>
          <w:i/>
        </w:rPr>
        <w:lastRenderedPageBreak/>
        <w:t>Observation</w:t>
      </w:r>
      <w:r>
        <w:rPr>
          <w:b/>
          <w:i/>
        </w:rPr>
        <w:t xml:space="preserve"> 7</w:t>
      </w:r>
      <w:r w:rsidRPr="00A417CA">
        <w:rPr>
          <w:b/>
          <w:i/>
        </w:rPr>
        <w:t>: RS for RRM inside the 1</w:t>
      </w:r>
      <w:r w:rsidRPr="00A417CA">
        <w:rPr>
          <w:b/>
          <w:i/>
          <w:vertAlign w:val="superscript"/>
        </w:rPr>
        <w:t>st</w:t>
      </w:r>
      <w:r w:rsidRPr="00A417CA">
        <w:rPr>
          <w:b/>
          <w:i/>
        </w:rPr>
        <w:t xml:space="preserve"> RF BW (and 2</w:t>
      </w:r>
      <w:r w:rsidRPr="00A417CA">
        <w:rPr>
          <w:b/>
          <w:i/>
          <w:vertAlign w:val="superscript"/>
        </w:rPr>
        <w:t>nd</w:t>
      </w:r>
      <w:r w:rsidRPr="00A417CA">
        <w:rPr>
          <w:b/>
          <w:i/>
        </w:rPr>
        <w:t xml:space="preserve"> RF BW) or separated from the 1</w:t>
      </w:r>
      <w:r w:rsidRPr="00A417CA">
        <w:rPr>
          <w:b/>
          <w:i/>
          <w:vertAlign w:val="superscript"/>
        </w:rPr>
        <w:t>st</w:t>
      </w:r>
      <w:r w:rsidRPr="00A417CA">
        <w:rPr>
          <w:b/>
          <w:i/>
        </w:rPr>
        <w:t xml:space="preserve"> RF BW (and 2</w:t>
      </w:r>
      <w:r w:rsidRPr="00A417CA">
        <w:rPr>
          <w:b/>
          <w:i/>
          <w:vertAlign w:val="superscript"/>
        </w:rPr>
        <w:t>nd</w:t>
      </w:r>
      <w:r w:rsidRPr="00A417CA">
        <w:rPr>
          <w:b/>
          <w:i/>
        </w:rPr>
        <w:t xml:space="preserve"> RF BW) with support of UE retuning are viable options for a network to select. </w:t>
      </w:r>
    </w:p>
    <w:p w14:paraId="180DAD8C" w14:textId="568F8DE5" w:rsidR="00376778" w:rsidRPr="00A417CA" w:rsidRDefault="00376778" w:rsidP="00376778">
      <w:pPr>
        <w:spacing w:line="288" w:lineRule="auto"/>
        <w:jc w:val="both"/>
        <w:rPr>
          <w:b/>
          <w:i/>
          <w:lang w:val="en-US"/>
        </w:rPr>
      </w:pPr>
      <w:r w:rsidRPr="00A417CA">
        <w:rPr>
          <w:b/>
          <w:i/>
          <w:lang w:val="en-US" w:eastAsia="ko-KR"/>
        </w:rPr>
        <w:t>Observation</w:t>
      </w:r>
      <w:r>
        <w:rPr>
          <w:b/>
          <w:i/>
          <w:lang w:val="en-US" w:eastAsia="ko-KR"/>
        </w:rPr>
        <w:t xml:space="preserve"> </w:t>
      </w:r>
      <w:r w:rsidR="00537F4D">
        <w:rPr>
          <w:b/>
          <w:i/>
          <w:lang w:val="en-US" w:eastAsia="ko-KR"/>
        </w:rPr>
        <w:t>8</w:t>
      </w:r>
      <w:r w:rsidRPr="00A417CA">
        <w:rPr>
          <w:b/>
          <w:i/>
          <w:lang w:val="en-US" w:eastAsia="ko-KR"/>
        </w:rPr>
        <w:t xml:space="preserve">: Supporting the implementation of case-3 from a UE side (and RAN1) needs more study and inputs from RAN4 about the impacts of supporting a wideband using 2 RF chains, but one baseband. </w:t>
      </w:r>
    </w:p>
    <w:p w14:paraId="12E37D4F" w14:textId="5C435B90" w:rsidR="00376778" w:rsidRPr="00A417CA" w:rsidRDefault="00376778" w:rsidP="00376778">
      <w:pPr>
        <w:spacing w:line="288" w:lineRule="auto"/>
        <w:jc w:val="both"/>
        <w:rPr>
          <w:b/>
          <w:i/>
          <w:lang w:val="en-US"/>
        </w:rPr>
      </w:pPr>
      <w:r w:rsidRPr="00A417CA">
        <w:rPr>
          <w:b/>
          <w:i/>
          <w:lang w:val="en-US" w:eastAsia="ko-KR"/>
        </w:rPr>
        <w:t>Observation</w:t>
      </w:r>
      <w:r>
        <w:rPr>
          <w:b/>
          <w:i/>
          <w:lang w:val="en-US" w:eastAsia="ko-KR"/>
        </w:rPr>
        <w:t xml:space="preserve"> </w:t>
      </w:r>
      <w:r w:rsidR="00537F4D">
        <w:rPr>
          <w:b/>
          <w:i/>
          <w:lang w:val="en-US" w:eastAsia="ko-KR"/>
        </w:rPr>
        <w:t>9</w:t>
      </w:r>
      <w:r w:rsidRPr="00A417CA">
        <w:rPr>
          <w:b/>
          <w:i/>
          <w:lang w:val="en-US" w:eastAsia="ko-KR"/>
        </w:rPr>
        <w:t>: The applicability of DFT-S-OFDM waveform in the uplink wideband operations depends on various configurations listed above</w:t>
      </w:r>
      <w:r>
        <w:rPr>
          <w:b/>
          <w:i/>
          <w:lang w:val="en-US" w:eastAsia="ko-KR"/>
        </w:rPr>
        <w:t xml:space="preserve"> (e.g., case 3 and 4)</w:t>
      </w:r>
      <w:r w:rsidRPr="00A417CA">
        <w:rPr>
          <w:b/>
          <w:i/>
          <w:lang w:val="en-US" w:eastAsia="ko-KR"/>
        </w:rPr>
        <w:t>.</w:t>
      </w:r>
    </w:p>
    <w:p w14:paraId="44B59584" w14:textId="1F1C8732" w:rsidR="00376778" w:rsidRPr="006F4DED" w:rsidRDefault="00376778" w:rsidP="00376778">
      <w:pPr>
        <w:pStyle w:val="ae"/>
        <w:spacing w:line="288" w:lineRule="auto"/>
        <w:rPr>
          <w:rFonts w:ascii="Times New Roman" w:eastAsia="맑은 고딕" w:hAnsi="Times New Roman"/>
          <w:b/>
          <w:i/>
          <w:szCs w:val="20"/>
          <w:lang w:val="en-US" w:eastAsia="ko-KR"/>
        </w:rPr>
      </w:pPr>
      <w:r w:rsidRPr="006F4DED">
        <w:rPr>
          <w:rFonts w:ascii="Times New Roman" w:eastAsia="맑은 고딕" w:hAnsi="Times New Roman"/>
          <w:b/>
          <w:i/>
          <w:szCs w:val="20"/>
          <w:lang w:val="en-US" w:eastAsia="ko-KR"/>
        </w:rPr>
        <w:t>Observation</w:t>
      </w:r>
      <w:r>
        <w:rPr>
          <w:rFonts w:ascii="Times New Roman" w:eastAsia="맑은 고딕" w:hAnsi="Times New Roman"/>
          <w:b/>
          <w:i/>
          <w:szCs w:val="20"/>
          <w:lang w:val="en-US" w:eastAsia="ko-KR"/>
        </w:rPr>
        <w:t xml:space="preserve"> </w:t>
      </w:r>
      <w:r w:rsidR="00537F4D">
        <w:rPr>
          <w:rFonts w:ascii="Times New Roman" w:eastAsia="맑은 고딕" w:hAnsi="Times New Roman"/>
          <w:b/>
          <w:i/>
          <w:szCs w:val="20"/>
          <w:lang w:val="en-US" w:eastAsia="ko-KR"/>
        </w:rPr>
        <w:t>10</w:t>
      </w:r>
      <w:r w:rsidRPr="006F4DED">
        <w:rPr>
          <w:rFonts w:ascii="Times New Roman" w:eastAsia="맑은 고딕" w:hAnsi="Times New Roman"/>
          <w:b/>
          <w:i/>
          <w:szCs w:val="20"/>
          <w:lang w:val="en-US" w:eastAsia="ko-KR"/>
        </w:rPr>
        <w:t xml:space="preserve">: AGC settling RS are beneficial for inter-band BW adaptation. </w:t>
      </w:r>
    </w:p>
    <w:p w14:paraId="08D1C321" w14:textId="247B4183" w:rsidR="00376778" w:rsidRPr="006F4DED" w:rsidRDefault="00376778" w:rsidP="00376778">
      <w:pPr>
        <w:pStyle w:val="ae"/>
        <w:spacing w:line="288" w:lineRule="auto"/>
        <w:rPr>
          <w:b/>
          <w:i/>
          <w:lang w:val="en-US" w:eastAsia="ko-KR"/>
        </w:rPr>
      </w:pPr>
      <w:r w:rsidRPr="006F4DED">
        <w:rPr>
          <w:rFonts w:ascii="Times New Roman" w:eastAsia="맑은 고딕" w:hAnsi="Times New Roman"/>
          <w:b/>
          <w:i/>
          <w:szCs w:val="20"/>
          <w:lang w:val="en-US" w:eastAsia="ko-KR"/>
        </w:rPr>
        <w:t>Observation</w:t>
      </w:r>
      <w:r>
        <w:rPr>
          <w:rFonts w:ascii="Times New Roman" w:eastAsia="맑은 고딕" w:hAnsi="Times New Roman"/>
          <w:b/>
          <w:i/>
          <w:szCs w:val="20"/>
          <w:lang w:val="en-US" w:eastAsia="ko-KR"/>
        </w:rPr>
        <w:t xml:space="preserve"> </w:t>
      </w:r>
      <w:r w:rsidR="00537F4D">
        <w:rPr>
          <w:rFonts w:ascii="Times New Roman" w:eastAsia="맑은 고딕" w:hAnsi="Times New Roman"/>
          <w:b/>
          <w:i/>
          <w:szCs w:val="20"/>
          <w:lang w:val="en-US" w:eastAsia="ko-KR"/>
        </w:rPr>
        <w:t>11</w:t>
      </w:r>
      <w:r w:rsidRPr="006F4DED">
        <w:rPr>
          <w:rFonts w:ascii="Times New Roman" w:eastAsia="맑은 고딕" w:hAnsi="Times New Roman"/>
          <w:b/>
          <w:i/>
          <w:szCs w:val="20"/>
          <w:lang w:val="en-US" w:eastAsia="ko-KR"/>
        </w:rPr>
        <w:t>: The BW adaptation timeline depends on the numerology being used and whether the adaptation is within the band or across bands.</w:t>
      </w:r>
    </w:p>
    <w:p w14:paraId="59FC2111" w14:textId="77777777" w:rsidR="00376778" w:rsidRDefault="00376778" w:rsidP="00376778">
      <w:pPr>
        <w:pStyle w:val="ae"/>
        <w:spacing w:line="288" w:lineRule="auto"/>
        <w:rPr>
          <w:b/>
          <w:i/>
        </w:rPr>
      </w:pPr>
    </w:p>
    <w:p w14:paraId="6936C023" w14:textId="77777777" w:rsidR="00376778" w:rsidRPr="00A417CA" w:rsidRDefault="00376778" w:rsidP="00376778">
      <w:pPr>
        <w:pStyle w:val="ae"/>
        <w:spacing w:line="288" w:lineRule="auto"/>
        <w:rPr>
          <w:b/>
          <w:i/>
        </w:rPr>
      </w:pPr>
      <w:r w:rsidRPr="00A417CA">
        <w:rPr>
          <w:b/>
          <w:i/>
        </w:rPr>
        <w:t>Proposal</w:t>
      </w:r>
      <w:r>
        <w:rPr>
          <w:b/>
          <w:i/>
        </w:rPr>
        <w:t xml:space="preserve"> 1</w:t>
      </w:r>
      <w:r w:rsidRPr="00A417CA">
        <w:rPr>
          <w:b/>
          <w:i/>
        </w:rPr>
        <w:t>: UE shall be able to assume cell-common RRM BW configurations across cells, for inter-cell measurement.</w:t>
      </w:r>
    </w:p>
    <w:p w14:paraId="12A8F7C6" w14:textId="77777777" w:rsidR="00376778" w:rsidRPr="00A417CA" w:rsidRDefault="00376778" w:rsidP="00376778">
      <w:pPr>
        <w:spacing w:line="288" w:lineRule="auto"/>
        <w:jc w:val="both"/>
        <w:rPr>
          <w:b/>
          <w:i/>
          <w:lang w:val="en-US"/>
        </w:rPr>
      </w:pPr>
      <w:r w:rsidRPr="00A417CA">
        <w:rPr>
          <w:b/>
          <w:i/>
          <w:lang w:val="en-US" w:eastAsia="ko-KR"/>
        </w:rPr>
        <w:t>Proposal</w:t>
      </w:r>
      <w:r>
        <w:rPr>
          <w:b/>
          <w:i/>
          <w:lang w:val="en-US" w:eastAsia="ko-KR"/>
        </w:rPr>
        <w:t xml:space="preserve"> 2</w:t>
      </w:r>
      <w:r w:rsidRPr="00A417CA">
        <w:rPr>
          <w:b/>
          <w:i/>
          <w:lang w:val="en-US" w:eastAsia="ko-KR"/>
        </w:rPr>
        <w:t>: Initial RAN1 study for supporting case-3 can be from a CA perspective.</w:t>
      </w:r>
    </w:p>
    <w:p w14:paraId="407D6F68" w14:textId="77777777" w:rsidR="00376778" w:rsidRPr="004B4C03" w:rsidRDefault="00376778" w:rsidP="00A417CA">
      <w:pPr>
        <w:spacing w:after="0" w:line="288" w:lineRule="auto"/>
        <w:jc w:val="both"/>
        <w:rPr>
          <w:color w:val="000000" w:themeColor="text1"/>
          <w:lang w:val="en-US" w:eastAsia="ko-KR"/>
        </w:rPr>
      </w:pPr>
    </w:p>
    <w:p w14:paraId="56BFCFC9" w14:textId="77777777" w:rsidR="00C51967" w:rsidRPr="00C51967" w:rsidRDefault="00C51967" w:rsidP="0057205B">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w:t>
      </w:r>
      <w:r w:rsidR="004552CE">
        <w:rPr>
          <w:szCs w:val="20"/>
          <w:lang w:val="en-US"/>
        </w:rPr>
        <w:t>s</w:t>
      </w:r>
      <w:bookmarkStart w:id="3" w:name="_GoBack"/>
      <w:bookmarkEnd w:id="3"/>
    </w:p>
    <w:p w14:paraId="0DD6F33C" w14:textId="6A080EF7" w:rsidR="00C228D9" w:rsidRPr="005903CC" w:rsidRDefault="00C51967" w:rsidP="00A417CA">
      <w:pPr>
        <w:spacing w:before="60"/>
        <w:rPr>
          <w:color w:val="000000" w:themeColor="text1"/>
          <w:lang w:eastAsia="ko-KR"/>
        </w:rPr>
      </w:pPr>
      <w:r w:rsidRPr="0057205B">
        <w:rPr>
          <w:rFonts w:hint="eastAsia"/>
          <w:color w:val="000000" w:themeColor="text1"/>
          <w:lang w:eastAsia="ko-KR"/>
        </w:rPr>
        <w:t>[</w:t>
      </w:r>
      <w:r w:rsidRPr="0057205B">
        <w:rPr>
          <w:color w:val="000000" w:themeColor="text1"/>
          <w:lang w:eastAsia="ko-KR"/>
        </w:rPr>
        <w:t xml:space="preserve">1] </w:t>
      </w:r>
      <w:r w:rsidR="00A3314C" w:rsidRPr="005903CC">
        <w:rPr>
          <w:color w:val="000000" w:themeColor="text1"/>
          <w:lang w:eastAsia="ko-KR"/>
        </w:rPr>
        <w:t>R4-1700304, WF on NR spectra related work, NTT DOCOMO</w:t>
      </w:r>
    </w:p>
    <w:p w14:paraId="452B4ED5" w14:textId="45310DE7" w:rsidR="006D4EA2" w:rsidRPr="005903CC" w:rsidRDefault="005F5530" w:rsidP="005903CC">
      <w:pPr>
        <w:spacing w:before="60"/>
        <w:rPr>
          <w:color w:val="000000" w:themeColor="text1"/>
          <w:lang w:eastAsia="ko-KR"/>
        </w:rPr>
      </w:pPr>
      <w:r w:rsidRPr="005903CC">
        <w:rPr>
          <w:color w:val="000000" w:themeColor="text1"/>
          <w:lang w:eastAsia="ko-KR"/>
        </w:rPr>
        <w:t>[</w:t>
      </w:r>
      <w:r w:rsidR="00C8357F" w:rsidRPr="005903CC">
        <w:rPr>
          <w:color w:val="000000" w:themeColor="text1"/>
          <w:lang w:eastAsia="ko-KR"/>
        </w:rPr>
        <w:t>2</w:t>
      </w:r>
      <w:r w:rsidRPr="005903CC">
        <w:rPr>
          <w:color w:val="000000" w:themeColor="text1"/>
          <w:lang w:eastAsia="ko-KR"/>
        </w:rPr>
        <w:t>] R1-</w:t>
      </w:r>
      <w:r w:rsidR="00FF6300" w:rsidRPr="005903CC">
        <w:rPr>
          <w:color w:val="000000" w:themeColor="text1"/>
          <w:lang w:eastAsia="ko-KR"/>
        </w:rPr>
        <w:t>1702902</w:t>
      </w:r>
      <w:r w:rsidRPr="005903CC">
        <w:rPr>
          <w:color w:val="000000" w:themeColor="text1"/>
          <w:lang w:eastAsia="ko-KR"/>
        </w:rPr>
        <w:t xml:space="preserve">, </w:t>
      </w:r>
      <w:r w:rsidR="00FF6300" w:rsidRPr="005903CC">
        <w:rPr>
          <w:color w:val="000000" w:themeColor="text1"/>
          <w:lang w:eastAsia="ko-KR"/>
        </w:rPr>
        <w:t xml:space="preserve">Remaining issues of </w:t>
      </w:r>
      <w:r w:rsidRPr="005903CC">
        <w:rPr>
          <w:color w:val="000000" w:themeColor="text1"/>
          <w:lang w:eastAsia="ko-KR"/>
        </w:rPr>
        <w:t>SS frequency raster, Samsung</w:t>
      </w:r>
    </w:p>
    <w:p w14:paraId="26505FF9" w14:textId="7832854F" w:rsidR="00F41FE3" w:rsidRPr="005903CC" w:rsidRDefault="009A3CE1" w:rsidP="005903CC">
      <w:pPr>
        <w:spacing w:before="60"/>
        <w:rPr>
          <w:color w:val="000000" w:themeColor="text1"/>
          <w:lang w:eastAsia="ko-KR"/>
        </w:rPr>
      </w:pPr>
      <w:r w:rsidRPr="005903CC">
        <w:rPr>
          <w:color w:val="000000" w:themeColor="text1"/>
          <w:lang w:eastAsia="ko-KR"/>
        </w:rPr>
        <w:t>[</w:t>
      </w:r>
      <w:r w:rsidR="00C8357F" w:rsidRPr="005903CC">
        <w:rPr>
          <w:color w:val="000000" w:themeColor="text1"/>
          <w:lang w:eastAsia="ko-KR"/>
        </w:rPr>
        <w:t>3</w:t>
      </w:r>
      <w:r w:rsidRPr="005903CC">
        <w:rPr>
          <w:color w:val="000000" w:themeColor="text1"/>
          <w:lang w:eastAsia="ko-KR"/>
        </w:rPr>
        <w:t>]</w:t>
      </w:r>
      <w:r w:rsidR="000016D0" w:rsidRPr="005903CC">
        <w:rPr>
          <w:color w:val="000000" w:themeColor="text1"/>
          <w:lang w:eastAsia="ko-KR"/>
        </w:rPr>
        <w:t xml:space="preserve"> </w:t>
      </w:r>
      <w:r w:rsidRPr="005903CC">
        <w:rPr>
          <w:color w:val="000000" w:themeColor="text1"/>
          <w:lang w:eastAsia="ko-KR"/>
        </w:rPr>
        <w:t>R4-</w:t>
      </w:r>
      <w:r w:rsidR="000016D0" w:rsidRPr="005903CC">
        <w:rPr>
          <w:color w:val="000000" w:themeColor="text1"/>
          <w:lang w:eastAsia="ko-KR"/>
        </w:rPr>
        <w:t>1610920, WF on channel bandwidth and transmission bandwidth configuration for NR, NTT DOCOMO.</w:t>
      </w:r>
    </w:p>
    <w:p w14:paraId="051A676C" w14:textId="071DFFCC" w:rsidR="00475EF9" w:rsidRPr="005903CC" w:rsidRDefault="00475EF9" w:rsidP="005903CC">
      <w:pPr>
        <w:spacing w:before="60"/>
        <w:rPr>
          <w:color w:val="000000" w:themeColor="text1"/>
          <w:lang w:eastAsia="ko-KR"/>
        </w:rPr>
      </w:pPr>
      <w:r w:rsidRPr="005903CC">
        <w:rPr>
          <w:color w:val="000000" w:themeColor="text1"/>
          <w:lang w:eastAsia="ko-KR"/>
        </w:rPr>
        <w:t>[4] R4-1702019, Reply LS on subcarrier spacing and carrier frequencies, RAN4</w:t>
      </w:r>
    </w:p>
    <w:p w14:paraId="476128CA" w14:textId="278D08D8" w:rsidR="00376778" w:rsidRDefault="003E697E">
      <w:pPr>
        <w:spacing w:after="0"/>
        <w:rPr>
          <w:rFonts w:cs="바탕"/>
        </w:rPr>
      </w:pPr>
      <w:r>
        <w:rPr>
          <w:rFonts w:cs="바탕"/>
        </w:rPr>
        <w:t>[5] R1-</w:t>
      </w:r>
      <w:r w:rsidR="00537F4D" w:rsidRPr="00537F4D">
        <w:rPr>
          <w:rFonts w:cs="바탕"/>
        </w:rPr>
        <w:t>1705387</w:t>
      </w:r>
      <w:r>
        <w:rPr>
          <w:rFonts w:cs="바탕"/>
        </w:rPr>
        <w:t xml:space="preserve">, </w:t>
      </w:r>
      <w:r w:rsidRPr="003E697E">
        <w:rPr>
          <w:rFonts w:cs="바탕"/>
        </w:rPr>
        <w:t>Bandwidth Adaptation for UE Power Savings</w:t>
      </w:r>
      <w:r>
        <w:rPr>
          <w:rFonts w:cs="바탕"/>
        </w:rPr>
        <w:t>, Samsung</w:t>
      </w:r>
    </w:p>
    <w:p w14:paraId="432521B4" w14:textId="01EBBDE9" w:rsidR="00F41FE3" w:rsidRDefault="00376778">
      <w:pPr>
        <w:spacing w:after="0"/>
        <w:rPr>
          <w:rFonts w:cs="바탕"/>
        </w:rPr>
      </w:pPr>
      <w:r>
        <w:rPr>
          <w:rFonts w:cs="바탕"/>
        </w:rPr>
        <w:br w:type="page"/>
      </w:r>
    </w:p>
    <w:p w14:paraId="7DDD36F9" w14:textId="068DD815" w:rsidR="00842B09" w:rsidRDefault="00842B09" w:rsidP="00842B09">
      <w:pPr>
        <w:pStyle w:val="1"/>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lastRenderedPageBreak/>
        <w:t>Appendix</w:t>
      </w:r>
    </w:p>
    <w:p w14:paraId="42EFDA13" w14:textId="6C1D2ACF" w:rsidR="00842B09" w:rsidRDefault="00842B09" w:rsidP="004B4C03">
      <w:pPr>
        <w:rPr>
          <w:lang w:val="en-US"/>
        </w:rPr>
      </w:pPr>
      <w:r>
        <w:rPr>
          <w:lang w:val="en-US" w:eastAsia="ko-KR"/>
        </w:rPr>
        <w:t xml:space="preserve">Based on the RAN1 and RAN4 agreements, below we list the possible </w:t>
      </w:r>
      <w:r w:rsidR="00376778">
        <w:rPr>
          <w:lang w:val="en-US" w:eastAsia="ko-KR"/>
        </w:rPr>
        <w:t xml:space="preserve">set of </w:t>
      </w:r>
      <w:r>
        <w:rPr>
          <w:lang w:val="en-US" w:eastAsia="ko-KR"/>
        </w:rPr>
        <w:t>numerologies that may be used</w:t>
      </w:r>
      <w:r w:rsidR="00537F4D">
        <w:rPr>
          <w:lang w:val="en-US" w:eastAsia="ko-KR"/>
        </w:rPr>
        <w:t>.</w:t>
      </w:r>
    </w:p>
    <w:p w14:paraId="3762082F" w14:textId="1DEB2300" w:rsidR="00842B09" w:rsidRPr="004B4C03" w:rsidRDefault="00842B09" w:rsidP="00842B09">
      <w:pPr>
        <w:spacing w:before="240" w:line="288" w:lineRule="auto"/>
        <w:jc w:val="center"/>
        <w:rPr>
          <w:rFonts w:ascii="Arial" w:eastAsiaTheme="minorEastAsia" w:hAnsi="Arial"/>
          <w:b/>
          <w:lang w:eastAsia="ko-KR"/>
        </w:rPr>
      </w:pPr>
      <w:r w:rsidRPr="004B4C03">
        <w:rPr>
          <w:rFonts w:ascii="Arial" w:eastAsiaTheme="minorEastAsia" w:hAnsi="Arial"/>
          <w:b/>
          <w:lang w:eastAsia="ko-KR"/>
        </w:rPr>
        <w:t xml:space="preserve">Table </w:t>
      </w:r>
      <w:r w:rsidR="00807372" w:rsidRPr="004B4C03">
        <w:rPr>
          <w:rFonts w:ascii="Arial" w:eastAsiaTheme="minorEastAsia" w:hAnsi="Arial"/>
          <w:b/>
          <w:lang w:eastAsia="ko-KR"/>
        </w:rPr>
        <w:t>A</w:t>
      </w:r>
      <w:r w:rsidRPr="004B4C03">
        <w:rPr>
          <w:rFonts w:ascii="Arial" w:eastAsiaTheme="minorEastAsia" w:hAnsi="Arial"/>
          <w:b/>
          <w:lang w:eastAsia="ko-KR"/>
        </w:rPr>
        <w:t xml:space="preserve">: Potential </w:t>
      </w:r>
      <w:r w:rsidR="0004432A">
        <w:rPr>
          <w:rFonts w:ascii="Arial" w:eastAsiaTheme="minorEastAsia" w:hAnsi="Arial"/>
          <w:b/>
          <w:lang w:eastAsia="ko-KR"/>
        </w:rPr>
        <w:t xml:space="preserve">Set of </w:t>
      </w:r>
      <w:r w:rsidRPr="004B4C03">
        <w:rPr>
          <w:rFonts w:ascii="Arial" w:eastAsiaTheme="minorEastAsia" w:hAnsi="Arial"/>
          <w:b/>
          <w:lang w:eastAsia="ko-KR"/>
        </w:rPr>
        <w:t>Numerologies for Sub-6GHz</w:t>
      </w:r>
    </w:p>
    <w:tbl>
      <w:tblPr>
        <w:tblStyle w:val="a6"/>
        <w:tblW w:w="0" w:type="auto"/>
        <w:jc w:val="center"/>
        <w:tblLook w:val="04A0" w:firstRow="1" w:lastRow="0" w:firstColumn="1" w:lastColumn="0" w:noHBand="0" w:noVBand="1"/>
      </w:tblPr>
      <w:tblGrid>
        <w:gridCol w:w="924"/>
        <w:gridCol w:w="995"/>
        <w:gridCol w:w="869"/>
        <w:gridCol w:w="1447"/>
        <w:gridCol w:w="1687"/>
        <w:gridCol w:w="1320"/>
        <w:gridCol w:w="1320"/>
      </w:tblGrid>
      <w:tr w:rsidR="00807372" w:rsidRPr="0004432A" w14:paraId="4E14D15D" w14:textId="77777777" w:rsidTr="004B4C03">
        <w:trPr>
          <w:trHeight w:val="215"/>
          <w:jc w:val="center"/>
        </w:trPr>
        <w:tc>
          <w:tcPr>
            <w:tcW w:w="924" w:type="dxa"/>
            <w:vAlign w:val="center"/>
          </w:tcPr>
          <w:p w14:paraId="46E0B8AF" w14:textId="77777777" w:rsidR="00842B09" w:rsidRPr="004B4C03" w:rsidRDefault="00842B09" w:rsidP="00807372">
            <w:pPr>
              <w:pStyle w:val="TAH0"/>
              <w:rPr>
                <w:rFonts w:cs="Arial"/>
                <w:szCs w:val="18"/>
              </w:rPr>
            </w:pPr>
            <w:r w:rsidRPr="004B4C03">
              <w:rPr>
                <w:rFonts w:cs="Arial"/>
                <w:szCs w:val="18"/>
              </w:rPr>
              <w:t>SCS (kHz)</w:t>
            </w:r>
          </w:p>
        </w:tc>
        <w:tc>
          <w:tcPr>
            <w:tcW w:w="995" w:type="dxa"/>
            <w:vAlign w:val="center"/>
          </w:tcPr>
          <w:p w14:paraId="3619E199" w14:textId="77777777" w:rsidR="00842B09" w:rsidRPr="004B4C03" w:rsidRDefault="00842B09" w:rsidP="00807372">
            <w:pPr>
              <w:pStyle w:val="TAH0"/>
              <w:rPr>
                <w:rFonts w:cs="Arial"/>
                <w:szCs w:val="18"/>
              </w:rPr>
            </w:pPr>
            <w:r w:rsidRPr="004B4C03">
              <w:rPr>
                <w:rFonts w:cs="Arial"/>
                <w:szCs w:val="18"/>
              </w:rPr>
              <w:t>CBW (MHz)</w:t>
            </w:r>
          </w:p>
        </w:tc>
        <w:tc>
          <w:tcPr>
            <w:tcW w:w="869" w:type="dxa"/>
            <w:vAlign w:val="center"/>
          </w:tcPr>
          <w:p w14:paraId="19F08420" w14:textId="77777777" w:rsidR="00842B09" w:rsidRPr="004B4C03" w:rsidRDefault="00842B09" w:rsidP="00807372">
            <w:pPr>
              <w:pStyle w:val="TAH0"/>
              <w:rPr>
                <w:rFonts w:cs="Arial"/>
                <w:szCs w:val="18"/>
              </w:rPr>
            </w:pPr>
            <w:r w:rsidRPr="004B4C03">
              <w:rPr>
                <w:rFonts w:cs="Arial"/>
                <w:szCs w:val="18"/>
              </w:rPr>
              <w:t>FFT size</w:t>
            </w:r>
          </w:p>
        </w:tc>
        <w:tc>
          <w:tcPr>
            <w:tcW w:w="1447" w:type="dxa"/>
            <w:vAlign w:val="center"/>
          </w:tcPr>
          <w:p w14:paraId="3B09756D" w14:textId="77777777" w:rsidR="00842B09" w:rsidRPr="004B4C03" w:rsidRDefault="00842B09" w:rsidP="00807372">
            <w:pPr>
              <w:pStyle w:val="TAH0"/>
              <w:rPr>
                <w:rFonts w:cs="Arial"/>
                <w:szCs w:val="18"/>
              </w:rPr>
            </w:pPr>
            <w:r w:rsidRPr="004B4C03">
              <w:rPr>
                <w:rFonts w:cs="Arial"/>
                <w:szCs w:val="18"/>
              </w:rPr>
              <w:t>Sampling rate (MHz)</w:t>
            </w:r>
          </w:p>
        </w:tc>
        <w:tc>
          <w:tcPr>
            <w:tcW w:w="1687" w:type="dxa"/>
            <w:vAlign w:val="center"/>
          </w:tcPr>
          <w:p w14:paraId="74EA9A1B" w14:textId="77777777" w:rsidR="00842B09" w:rsidRPr="004B4C03" w:rsidRDefault="00842B09" w:rsidP="00807372">
            <w:pPr>
              <w:pStyle w:val="TAH0"/>
              <w:rPr>
                <w:rFonts w:cs="Arial"/>
                <w:szCs w:val="18"/>
              </w:rPr>
            </w:pPr>
            <w:r w:rsidRPr="004B4C03">
              <w:rPr>
                <w:rFonts w:cs="Arial"/>
                <w:szCs w:val="18"/>
              </w:rPr>
              <w:t># of subcarriers (SU: 90%/99%)</w:t>
            </w:r>
          </w:p>
        </w:tc>
        <w:tc>
          <w:tcPr>
            <w:tcW w:w="1320" w:type="dxa"/>
            <w:vAlign w:val="center"/>
          </w:tcPr>
          <w:p w14:paraId="6726F0E5" w14:textId="77777777" w:rsidR="00842B09" w:rsidRPr="004B4C03" w:rsidRDefault="00842B09" w:rsidP="00807372">
            <w:pPr>
              <w:pStyle w:val="TAH0"/>
              <w:rPr>
                <w:rFonts w:cs="Arial"/>
                <w:szCs w:val="18"/>
              </w:rPr>
            </w:pPr>
            <w:r w:rsidRPr="004B4C03">
              <w:rPr>
                <w:rFonts w:cs="Arial"/>
                <w:szCs w:val="18"/>
              </w:rPr>
              <w:t># of samples for long CP</w:t>
            </w:r>
          </w:p>
        </w:tc>
        <w:tc>
          <w:tcPr>
            <w:tcW w:w="1320" w:type="dxa"/>
            <w:vAlign w:val="center"/>
          </w:tcPr>
          <w:p w14:paraId="5BF48164" w14:textId="77777777" w:rsidR="00842B09" w:rsidRPr="004B4C03" w:rsidRDefault="00842B09" w:rsidP="00807372">
            <w:pPr>
              <w:pStyle w:val="TAH0"/>
              <w:rPr>
                <w:rFonts w:cs="Arial"/>
                <w:szCs w:val="18"/>
              </w:rPr>
            </w:pPr>
            <w:r w:rsidRPr="004B4C03">
              <w:rPr>
                <w:rFonts w:cs="Arial"/>
                <w:szCs w:val="18"/>
              </w:rPr>
              <w:t># of samples for short CP</w:t>
            </w:r>
          </w:p>
        </w:tc>
      </w:tr>
      <w:tr w:rsidR="00807372" w:rsidRPr="0004432A" w14:paraId="596C7AFE" w14:textId="77777777" w:rsidTr="004B4C03">
        <w:trPr>
          <w:trHeight w:val="215"/>
          <w:jc w:val="center"/>
        </w:trPr>
        <w:tc>
          <w:tcPr>
            <w:tcW w:w="924" w:type="dxa"/>
            <w:vMerge w:val="restart"/>
            <w:vAlign w:val="center"/>
          </w:tcPr>
          <w:p w14:paraId="0FB0B62E" w14:textId="77777777" w:rsidR="00842B09" w:rsidRPr="004B4C03" w:rsidRDefault="00842B09" w:rsidP="00807372">
            <w:pPr>
              <w:pStyle w:val="TAH0"/>
              <w:rPr>
                <w:rFonts w:cs="Arial"/>
                <w:szCs w:val="18"/>
              </w:rPr>
            </w:pPr>
            <w:r w:rsidRPr="004B4C03">
              <w:rPr>
                <w:rFonts w:cs="Arial"/>
                <w:szCs w:val="18"/>
              </w:rPr>
              <w:t>15</w:t>
            </w:r>
          </w:p>
        </w:tc>
        <w:tc>
          <w:tcPr>
            <w:tcW w:w="995" w:type="dxa"/>
            <w:vAlign w:val="center"/>
          </w:tcPr>
          <w:p w14:paraId="0949AA9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w:t>
            </w:r>
          </w:p>
        </w:tc>
        <w:tc>
          <w:tcPr>
            <w:tcW w:w="869" w:type="dxa"/>
            <w:vAlign w:val="center"/>
          </w:tcPr>
          <w:p w14:paraId="6A21952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512</w:t>
            </w:r>
          </w:p>
        </w:tc>
        <w:tc>
          <w:tcPr>
            <w:tcW w:w="1447" w:type="dxa"/>
            <w:vAlign w:val="center"/>
          </w:tcPr>
          <w:p w14:paraId="2563EB8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7.68</w:t>
            </w:r>
          </w:p>
        </w:tc>
        <w:tc>
          <w:tcPr>
            <w:tcW w:w="1687" w:type="dxa"/>
            <w:vAlign w:val="center"/>
          </w:tcPr>
          <w:p w14:paraId="054EBB1D"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300/330</w:t>
            </w:r>
          </w:p>
        </w:tc>
        <w:tc>
          <w:tcPr>
            <w:tcW w:w="1320" w:type="dxa"/>
            <w:vAlign w:val="center"/>
          </w:tcPr>
          <w:p w14:paraId="386CF5B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w:t>
            </w:r>
          </w:p>
        </w:tc>
        <w:tc>
          <w:tcPr>
            <w:tcW w:w="1320" w:type="dxa"/>
            <w:vAlign w:val="center"/>
          </w:tcPr>
          <w:p w14:paraId="471A5CF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49BD0909" w14:textId="77777777" w:rsidTr="004B4C03">
        <w:trPr>
          <w:trHeight w:val="215"/>
          <w:jc w:val="center"/>
        </w:trPr>
        <w:tc>
          <w:tcPr>
            <w:tcW w:w="924" w:type="dxa"/>
            <w:vMerge/>
            <w:vAlign w:val="center"/>
          </w:tcPr>
          <w:p w14:paraId="31B73C43" w14:textId="77777777" w:rsidR="00842B09" w:rsidRPr="004B4C03" w:rsidRDefault="00842B09" w:rsidP="00807372">
            <w:pPr>
              <w:pStyle w:val="TAH0"/>
              <w:rPr>
                <w:rFonts w:cs="Arial"/>
                <w:szCs w:val="18"/>
              </w:rPr>
            </w:pPr>
          </w:p>
        </w:tc>
        <w:tc>
          <w:tcPr>
            <w:tcW w:w="995" w:type="dxa"/>
            <w:vAlign w:val="center"/>
          </w:tcPr>
          <w:p w14:paraId="5D8FB5F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w:t>
            </w:r>
          </w:p>
        </w:tc>
        <w:tc>
          <w:tcPr>
            <w:tcW w:w="869" w:type="dxa"/>
            <w:vAlign w:val="center"/>
          </w:tcPr>
          <w:p w14:paraId="6D43FC6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47" w:type="dxa"/>
            <w:vAlign w:val="center"/>
          </w:tcPr>
          <w:p w14:paraId="6437B09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15.36</w:t>
            </w:r>
          </w:p>
        </w:tc>
        <w:tc>
          <w:tcPr>
            <w:tcW w:w="1687" w:type="dxa"/>
            <w:vAlign w:val="center"/>
          </w:tcPr>
          <w:p w14:paraId="477DBC4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600/660</w:t>
            </w:r>
          </w:p>
        </w:tc>
        <w:tc>
          <w:tcPr>
            <w:tcW w:w="1320" w:type="dxa"/>
            <w:vAlign w:val="center"/>
          </w:tcPr>
          <w:p w14:paraId="3DAC2D6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80</w:t>
            </w:r>
          </w:p>
        </w:tc>
        <w:tc>
          <w:tcPr>
            <w:tcW w:w="1320" w:type="dxa"/>
            <w:vAlign w:val="center"/>
          </w:tcPr>
          <w:p w14:paraId="1156CB2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6BF5CA2D" w14:textId="77777777" w:rsidTr="004B4C03">
        <w:trPr>
          <w:trHeight w:val="218"/>
          <w:jc w:val="center"/>
        </w:trPr>
        <w:tc>
          <w:tcPr>
            <w:tcW w:w="924" w:type="dxa"/>
            <w:vMerge/>
            <w:vAlign w:val="center"/>
          </w:tcPr>
          <w:p w14:paraId="741084FE" w14:textId="77777777" w:rsidR="00842B09" w:rsidRPr="004B4C03" w:rsidRDefault="00842B09" w:rsidP="00807372">
            <w:pPr>
              <w:pStyle w:val="TAH0"/>
              <w:rPr>
                <w:rFonts w:cs="Arial"/>
                <w:szCs w:val="18"/>
              </w:rPr>
            </w:pPr>
          </w:p>
        </w:tc>
        <w:tc>
          <w:tcPr>
            <w:tcW w:w="995" w:type="dxa"/>
            <w:vAlign w:val="center"/>
          </w:tcPr>
          <w:p w14:paraId="38CB059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w:t>
            </w:r>
          </w:p>
        </w:tc>
        <w:tc>
          <w:tcPr>
            <w:tcW w:w="869" w:type="dxa"/>
            <w:vAlign w:val="center"/>
          </w:tcPr>
          <w:p w14:paraId="5FA2AC3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47" w:type="dxa"/>
            <w:vAlign w:val="center"/>
          </w:tcPr>
          <w:p w14:paraId="7EB516C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30.72</w:t>
            </w:r>
          </w:p>
        </w:tc>
        <w:tc>
          <w:tcPr>
            <w:tcW w:w="1687" w:type="dxa"/>
            <w:vAlign w:val="center"/>
          </w:tcPr>
          <w:p w14:paraId="043728C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1200/1320</w:t>
            </w:r>
          </w:p>
        </w:tc>
        <w:tc>
          <w:tcPr>
            <w:tcW w:w="1320" w:type="dxa"/>
            <w:vAlign w:val="center"/>
          </w:tcPr>
          <w:p w14:paraId="53254B5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160</w:t>
            </w:r>
          </w:p>
        </w:tc>
        <w:tc>
          <w:tcPr>
            <w:tcW w:w="1320" w:type="dxa"/>
            <w:vAlign w:val="center"/>
          </w:tcPr>
          <w:p w14:paraId="58C72C2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19ABE7FA" w14:textId="77777777" w:rsidTr="004B4C03">
        <w:trPr>
          <w:trHeight w:val="215"/>
          <w:jc w:val="center"/>
        </w:trPr>
        <w:tc>
          <w:tcPr>
            <w:tcW w:w="924" w:type="dxa"/>
            <w:vMerge/>
            <w:vAlign w:val="center"/>
          </w:tcPr>
          <w:p w14:paraId="4F5A23C5" w14:textId="77777777" w:rsidR="00842B09" w:rsidRPr="004B4C03" w:rsidRDefault="00842B09" w:rsidP="00807372">
            <w:pPr>
              <w:pStyle w:val="TAH0"/>
              <w:rPr>
                <w:rFonts w:cs="Arial"/>
                <w:szCs w:val="18"/>
              </w:rPr>
            </w:pPr>
          </w:p>
        </w:tc>
        <w:tc>
          <w:tcPr>
            <w:tcW w:w="995" w:type="dxa"/>
            <w:vAlign w:val="center"/>
          </w:tcPr>
          <w:p w14:paraId="501B2D7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w:t>
            </w:r>
          </w:p>
        </w:tc>
        <w:tc>
          <w:tcPr>
            <w:tcW w:w="869" w:type="dxa"/>
            <w:vAlign w:val="center"/>
          </w:tcPr>
          <w:p w14:paraId="3DACBD9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47" w:type="dxa"/>
            <w:vAlign w:val="center"/>
          </w:tcPr>
          <w:p w14:paraId="26F352DB"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61.44</w:t>
            </w:r>
          </w:p>
        </w:tc>
        <w:tc>
          <w:tcPr>
            <w:tcW w:w="1687" w:type="dxa"/>
            <w:vAlign w:val="center"/>
          </w:tcPr>
          <w:p w14:paraId="5FBE6A1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2400/2640</w:t>
            </w:r>
          </w:p>
        </w:tc>
        <w:tc>
          <w:tcPr>
            <w:tcW w:w="1320" w:type="dxa"/>
            <w:vAlign w:val="center"/>
          </w:tcPr>
          <w:p w14:paraId="26F88F4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320</w:t>
            </w:r>
          </w:p>
        </w:tc>
        <w:tc>
          <w:tcPr>
            <w:tcW w:w="1320" w:type="dxa"/>
            <w:vAlign w:val="center"/>
          </w:tcPr>
          <w:p w14:paraId="289C9279"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288</w:t>
            </w:r>
          </w:p>
        </w:tc>
      </w:tr>
      <w:tr w:rsidR="00807372" w:rsidRPr="0004432A" w14:paraId="5E9C297F" w14:textId="77777777" w:rsidTr="004B4C03">
        <w:trPr>
          <w:trHeight w:val="215"/>
          <w:jc w:val="center"/>
        </w:trPr>
        <w:tc>
          <w:tcPr>
            <w:tcW w:w="924" w:type="dxa"/>
            <w:vMerge/>
            <w:vAlign w:val="center"/>
          </w:tcPr>
          <w:p w14:paraId="72EF2840" w14:textId="77777777" w:rsidR="00842B09" w:rsidRPr="004B4C03" w:rsidRDefault="00842B09" w:rsidP="00807372">
            <w:pPr>
              <w:pStyle w:val="TAH0"/>
              <w:rPr>
                <w:rFonts w:cs="Arial"/>
                <w:szCs w:val="18"/>
              </w:rPr>
            </w:pPr>
          </w:p>
        </w:tc>
        <w:tc>
          <w:tcPr>
            <w:tcW w:w="995" w:type="dxa"/>
            <w:vAlign w:val="center"/>
          </w:tcPr>
          <w:p w14:paraId="5BE8158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80</w:t>
            </w:r>
          </w:p>
        </w:tc>
        <w:tc>
          <w:tcPr>
            <w:tcW w:w="869" w:type="dxa"/>
            <w:vAlign w:val="center"/>
          </w:tcPr>
          <w:p w14:paraId="719007F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8192</w:t>
            </w:r>
          </w:p>
        </w:tc>
        <w:tc>
          <w:tcPr>
            <w:tcW w:w="1447" w:type="dxa"/>
            <w:vAlign w:val="center"/>
          </w:tcPr>
          <w:p w14:paraId="3D8E294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11D1882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4800/5280</w:t>
            </w:r>
          </w:p>
        </w:tc>
        <w:tc>
          <w:tcPr>
            <w:tcW w:w="1320" w:type="dxa"/>
            <w:vAlign w:val="center"/>
          </w:tcPr>
          <w:p w14:paraId="2E60ABA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640</w:t>
            </w:r>
          </w:p>
        </w:tc>
        <w:tc>
          <w:tcPr>
            <w:tcW w:w="1320" w:type="dxa"/>
            <w:vAlign w:val="center"/>
          </w:tcPr>
          <w:p w14:paraId="4DA56EE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576</w:t>
            </w:r>
          </w:p>
        </w:tc>
      </w:tr>
      <w:tr w:rsidR="00807372" w:rsidRPr="0004432A" w14:paraId="609CF5C2" w14:textId="77777777" w:rsidTr="004B4C03">
        <w:trPr>
          <w:trHeight w:val="215"/>
          <w:jc w:val="center"/>
        </w:trPr>
        <w:tc>
          <w:tcPr>
            <w:tcW w:w="924" w:type="dxa"/>
            <w:vMerge/>
            <w:vAlign w:val="center"/>
          </w:tcPr>
          <w:p w14:paraId="27F0D2F7" w14:textId="77777777" w:rsidR="00842B09" w:rsidRPr="004B4C03" w:rsidRDefault="00842B09" w:rsidP="00807372">
            <w:pPr>
              <w:pStyle w:val="TAH0"/>
              <w:rPr>
                <w:rFonts w:cs="Arial"/>
                <w:szCs w:val="18"/>
              </w:rPr>
            </w:pPr>
          </w:p>
        </w:tc>
        <w:tc>
          <w:tcPr>
            <w:tcW w:w="995" w:type="dxa"/>
            <w:vAlign w:val="center"/>
          </w:tcPr>
          <w:p w14:paraId="5CDA21C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100</w:t>
            </w:r>
          </w:p>
        </w:tc>
        <w:tc>
          <w:tcPr>
            <w:tcW w:w="869" w:type="dxa"/>
            <w:vAlign w:val="center"/>
          </w:tcPr>
          <w:p w14:paraId="374F87AB"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8192</w:t>
            </w:r>
          </w:p>
        </w:tc>
        <w:tc>
          <w:tcPr>
            <w:tcW w:w="1447" w:type="dxa"/>
            <w:vAlign w:val="center"/>
          </w:tcPr>
          <w:p w14:paraId="01148EE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0CBBF1D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6000/6600</w:t>
            </w:r>
          </w:p>
        </w:tc>
        <w:tc>
          <w:tcPr>
            <w:tcW w:w="1320" w:type="dxa"/>
            <w:vAlign w:val="center"/>
          </w:tcPr>
          <w:p w14:paraId="2139937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640</w:t>
            </w:r>
          </w:p>
        </w:tc>
        <w:tc>
          <w:tcPr>
            <w:tcW w:w="1320" w:type="dxa"/>
            <w:vAlign w:val="center"/>
          </w:tcPr>
          <w:p w14:paraId="38DBBAE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576</w:t>
            </w:r>
          </w:p>
        </w:tc>
      </w:tr>
      <w:tr w:rsidR="00807372" w:rsidRPr="0004432A" w14:paraId="7008FC33" w14:textId="77777777" w:rsidTr="004B4C03">
        <w:trPr>
          <w:trHeight w:val="222"/>
          <w:jc w:val="center"/>
        </w:trPr>
        <w:tc>
          <w:tcPr>
            <w:tcW w:w="924" w:type="dxa"/>
            <w:vMerge w:val="restart"/>
            <w:vAlign w:val="center"/>
          </w:tcPr>
          <w:p w14:paraId="008CF57D" w14:textId="77777777" w:rsidR="00842B09" w:rsidRPr="004B4C03" w:rsidRDefault="00842B09" w:rsidP="00807372">
            <w:pPr>
              <w:pStyle w:val="TAH0"/>
              <w:rPr>
                <w:rFonts w:cs="Arial"/>
                <w:szCs w:val="18"/>
              </w:rPr>
            </w:pPr>
            <w:r w:rsidRPr="004B4C03">
              <w:rPr>
                <w:rFonts w:cs="Arial"/>
                <w:szCs w:val="18"/>
              </w:rPr>
              <w:t>30</w:t>
            </w:r>
          </w:p>
        </w:tc>
        <w:tc>
          <w:tcPr>
            <w:tcW w:w="995" w:type="dxa"/>
            <w:vAlign w:val="center"/>
          </w:tcPr>
          <w:p w14:paraId="3AB2600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w:t>
            </w:r>
          </w:p>
        </w:tc>
        <w:tc>
          <w:tcPr>
            <w:tcW w:w="869" w:type="dxa"/>
            <w:vAlign w:val="center"/>
          </w:tcPr>
          <w:p w14:paraId="6819C48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256</w:t>
            </w:r>
          </w:p>
        </w:tc>
        <w:tc>
          <w:tcPr>
            <w:tcW w:w="1447" w:type="dxa"/>
            <w:vAlign w:val="center"/>
          </w:tcPr>
          <w:p w14:paraId="3F9657C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7.68</w:t>
            </w:r>
          </w:p>
        </w:tc>
        <w:tc>
          <w:tcPr>
            <w:tcW w:w="1687" w:type="dxa"/>
            <w:vAlign w:val="center"/>
          </w:tcPr>
          <w:p w14:paraId="05B1244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150/165</w:t>
            </w:r>
          </w:p>
        </w:tc>
        <w:tc>
          <w:tcPr>
            <w:tcW w:w="1320" w:type="dxa"/>
            <w:vAlign w:val="center"/>
          </w:tcPr>
          <w:p w14:paraId="77C8EB1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22</w:t>
            </w:r>
          </w:p>
        </w:tc>
        <w:tc>
          <w:tcPr>
            <w:tcW w:w="1320" w:type="dxa"/>
            <w:vAlign w:val="center"/>
          </w:tcPr>
          <w:p w14:paraId="71EEC50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18</w:t>
            </w:r>
          </w:p>
        </w:tc>
      </w:tr>
      <w:tr w:rsidR="00807372" w:rsidRPr="0004432A" w14:paraId="115C3A82" w14:textId="77777777" w:rsidTr="004B4C03">
        <w:trPr>
          <w:trHeight w:val="222"/>
          <w:jc w:val="center"/>
        </w:trPr>
        <w:tc>
          <w:tcPr>
            <w:tcW w:w="924" w:type="dxa"/>
            <w:vMerge/>
            <w:vAlign w:val="center"/>
          </w:tcPr>
          <w:p w14:paraId="23C010F6" w14:textId="77777777" w:rsidR="00842B09" w:rsidRPr="004B4C03" w:rsidRDefault="00842B09" w:rsidP="00807372">
            <w:pPr>
              <w:pStyle w:val="TAH0"/>
              <w:rPr>
                <w:rFonts w:cs="Arial"/>
                <w:szCs w:val="18"/>
              </w:rPr>
            </w:pPr>
          </w:p>
        </w:tc>
        <w:tc>
          <w:tcPr>
            <w:tcW w:w="995" w:type="dxa"/>
            <w:vAlign w:val="center"/>
          </w:tcPr>
          <w:p w14:paraId="1A577E8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w:t>
            </w:r>
          </w:p>
        </w:tc>
        <w:tc>
          <w:tcPr>
            <w:tcW w:w="869" w:type="dxa"/>
            <w:vAlign w:val="center"/>
          </w:tcPr>
          <w:p w14:paraId="299D5CE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512</w:t>
            </w:r>
          </w:p>
        </w:tc>
        <w:tc>
          <w:tcPr>
            <w:tcW w:w="1447" w:type="dxa"/>
            <w:vAlign w:val="center"/>
          </w:tcPr>
          <w:p w14:paraId="1502DB2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15.36</w:t>
            </w:r>
          </w:p>
        </w:tc>
        <w:tc>
          <w:tcPr>
            <w:tcW w:w="1687" w:type="dxa"/>
            <w:vAlign w:val="center"/>
          </w:tcPr>
          <w:p w14:paraId="299EF01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300/330</w:t>
            </w:r>
          </w:p>
        </w:tc>
        <w:tc>
          <w:tcPr>
            <w:tcW w:w="1320" w:type="dxa"/>
            <w:vAlign w:val="center"/>
          </w:tcPr>
          <w:p w14:paraId="516E6D2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44</w:t>
            </w:r>
          </w:p>
        </w:tc>
        <w:tc>
          <w:tcPr>
            <w:tcW w:w="1320" w:type="dxa"/>
            <w:vAlign w:val="center"/>
          </w:tcPr>
          <w:p w14:paraId="145EBBED"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202CD519" w14:textId="77777777" w:rsidTr="004B4C03">
        <w:trPr>
          <w:trHeight w:val="222"/>
          <w:jc w:val="center"/>
        </w:trPr>
        <w:tc>
          <w:tcPr>
            <w:tcW w:w="924" w:type="dxa"/>
            <w:vMerge/>
            <w:vAlign w:val="center"/>
          </w:tcPr>
          <w:p w14:paraId="1A3D44AD" w14:textId="77777777" w:rsidR="00842B09" w:rsidRPr="004B4C03" w:rsidRDefault="00842B09" w:rsidP="00807372">
            <w:pPr>
              <w:pStyle w:val="TAH0"/>
              <w:rPr>
                <w:rFonts w:cs="Arial"/>
                <w:szCs w:val="18"/>
              </w:rPr>
            </w:pPr>
          </w:p>
        </w:tc>
        <w:tc>
          <w:tcPr>
            <w:tcW w:w="995" w:type="dxa"/>
            <w:vAlign w:val="center"/>
          </w:tcPr>
          <w:p w14:paraId="3B80643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w:t>
            </w:r>
          </w:p>
        </w:tc>
        <w:tc>
          <w:tcPr>
            <w:tcW w:w="869" w:type="dxa"/>
            <w:vAlign w:val="center"/>
          </w:tcPr>
          <w:p w14:paraId="47912A6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47" w:type="dxa"/>
            <w:vAlign w:val="center"/>
          </w:tcPr>
          <w:p w14:paraId="2714B9DD"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30.72</w:t>
            </w:r>
          </w:p>
        </w:tc>
        <w:tc>
          <w:tcPr>
            <w:tcW w:w="1687" w:type="dxa"/>
            <w:vAlign w:val="center"/>
          </w:tcPr>
          <w:p w14:paraId="612B243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600/660</w:t>
            </w:r>
          </w:p>
        </w:tc>
        <w:tc>
          <w:tcPr>
            <w:tcW w:w="1320" w:type="dxa"/>
            <w:vAlign w:val="center"/>
          </w:tcPr>
          <w:p w14:paraId="4F18E5B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88</w:t>
            </w:r>
          </w:p>
        </w:tc>
        <w:tc>
          <w:tcPr>
            <w:tcW w:w="1320" w:type="dxa"/>
            <w:vAlign w:val="center"/>
          </w:tcPr>
          <w:p w14:paraId="0930620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3EC6796C" w14:textId="77777777" w:rsidTr="004B4C03">
        <w:trPr>
          <w:trHeight w:val="222"/>
          <w:jc w:val="center"/>
        </w:trPr>
        <w:tc>
          <w:tcPr>
            <w:tcW w:w="924" w:type="dxa"/>
            <w:vMerge/>
            <w:vAlign w:val="center"/>
          </w:tcPr>
          <w:p w14:paraId="72F7E8E9" w14:textId="77777777" w:rsidR="00842B09" w:rsidRPr="004B4C03" w:rsidRDefault="00842B09" w:rsidP="00807372">
            <w:pPr>
              <w:pStyle w:val="TAH0"/>
              <w:rPr>
                <w:rFonts w:cs="Arial"/>
                <w:szCs w:val="18"/>
              </w:rPr>
            </w:pPr>
          </w:p>
        </w:tc>
        <w:tc>
          <w:tcPr>
            <w:tcW w:w="995" w:type="dxa"/>
            <w:vAlign w:val="center"/>
          </w:tcPr>
          <w:p w14:paraId="2BAF21C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w:t>
            </w:r>
          </w:p>
        </w:tc>
        <w:tc>
          <w:tcPr>
            <w:tcW w:w="869" w:type="dxa"/>
            <w:vAlign w:val="center"/>
          </w:tcPr>
          <w:p w14:paraId="78AF1E1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47" w:type="dxa"/>
            <w:vAlign w:val="center"/>
          </w:tcPr>
          <w:p w14:paraId="71213F0D"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61.44</w:t>
            </w:r>
          </w:p>
        </w:tc>
        <w:tc>
          <w:tcPr>
            <w:tcW w:w="1687" w:type="dxa"/>
            <w:vAlign w:val="center"/>
          </w:tcPr>
          <w:p w14:paraId="237CBDA6"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1200/1320</w:t>
            </w:r>
          </w:p>
        </w:tc>
        <w:tc>
          <w:tcPr>
            <w:tcW w:w="1320" w:type="dxa"/>
            <w:vAlign w:val="center"/>
          </w:tcPr>
          <w:p w14:paraId="038460C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176</w:t>
            </w:r>
          </w:p>
        </w:tc>
        <w:tc>
          <w:tcPr>
            <w:tcW w:w="1320" w:type="dxa"/>
            <w:vAlign w:val="center"/>
          </w:tcPr>
          <w:p w14:paraId="0880584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6298F3D0" w14:textId="77777777" w:rsidTr="004B4C03">
        <w:trPr>
          <w:trHeight w:val="222"/>
          <w:jc w:val="center"/>
        </w:trPr>
        <w:tc>
          <w:tcPr>
            <w:tcW w:w="924" w:type="dxa"/>
            <w:vMerge/>
            <w:vAlign w:val="center"/>
          </w:tcPr>
          <w:p w14:paraId="5F2D0CD5" w14:textId="77777777" w:rsidR="00842B09" w:rsidRPr="004B4C03" w:rsidRDefault="00842B09" w:rsidP="00807372">
            <w:pPr>
              <w:pStyle w:val="TAH0"/>
              <w:rPr>
                <w:rFonts w:cs="Arial"/>
                <w:szCs w:val="18"/>
              </w:rPr>
            </w:pPr>
          </w:p>
        </w:tc>
        <w:tc>
          <w:tcPr>
            <w:tcW w:w="995" w:type="dxa"/>
            <w:vAlign w:val="center"/>
          </w:tcPr>
          <w:p w14:paraId="5E52371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80</w:t>
            </w:r>
          </w:p>
        </w:tc>
        <w:tc>
          <w:tcPr>
            <w:tcW w:w="869" w:type="dxa"/>
            <w:vAlign w:val="center"/>
          </w:tcPr>
          <w:p w14:paraId="13188D4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47" w:type="dxa"/>
            <w:vAlign w:val="center"/>
          </w:tcPr>
          <w:p w14:paraId="2FEFC1EB"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1BEF1CE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2400/2640</w:t>
            </w:r>
          </w:p>
        </w:tc>
        <w:tc>
          <w:tcPr>
            <w:tcW w:w="1320" w:type="dxa"/>
            <w:vAlign w:val="center"/>
          </w:tcPr>
          <w:p w14:paraId="3F349D2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352</w:t>
            </w:r>
          </w:p>
        </w:tc>
        <w:tc>
          <w:tcPr>
            <w:tcW w:w="1320" w:type="dxa"/>
            <w:vAlign w:val="center"/>
          </w:tcPr>
          <w:p w14:paraId="607E268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288</w:t>
            </w:r>
          </w:p>
        </w:tc>
      </w:tr>
      <w:tr w:rsidR="00807372" w:rsidRPr="0004432A" w14:paraId="3037E2BD" w14:textId="77777777" w:rsidTr="004B4C03">
        <w:trPr>
          <w:trHeight w:val="222"/>
          <w:jc w:val="center"/>
        </w:trPr>
        <w:tc>
          <w:tcPr>
            <w:tcW w:w="924" w:type="dxa"/>
            <w:vMerge/>
            <w:vAlign w:val="center"/>
          </w:tcPr>
          <w:p w14:paraId="20CE6C8C" w14:textId="77777777" w:rsidR="00842B09" w:rsidRPr="004B4C03" w:rsidRDefault="00842B09" w:rsidP="00807372">
            <w:pPr>
              <w:pStyle w:val="TAH0"/>
              <w:rPr>
                <w:rFonts w:cs="Arial"/>
                <w:szCs w:val="18"/>
              </w:rPr>
            </w:pPr>
          </w:p>
        </w:tc>
        <w:tc>
          <w:tcPr>
            <w:tcW w:w="995" w:type="dxa"/>
            <w:vAlign w:val="center"/>
          </w:tcPr>
          <w:p w14:paraId="2A27059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100</w:t>
            </w:r>
          </w:p>
        </w:tc>
        <w:tc>
          <w:tcPr>
            <w:tcW w:w="869" w:type="dxa"/>
            <w:vAlign w:val="center"/>
          </w:tcPr>
          <w:p w14:paraId="360F07D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47" w:type="dxa"/>
            <w:vAlign w:val="center"/>
          </w:tcPr>
          <w:p w14:paraId="79AC989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6D670916"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3000/3300</w:t>
            </w:r>
          </w:p>
        </w:tc>
        <w:tc>
          <w:tcPr>
            <w:tcW w:w="1320" w:type="dxa"/>
            <w:vAlign w:val="center"/>
          </w:tcPr>
          <w:p w14:paraId="24D4733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352</w:t>
            </w:r>
          </w:p>
        </w:tc>
        <w:tc>
          <w:tcPr>
            <w:tcW w:w="1320" w:type="dxa"/>
            <w:vAlign w:val="center"/>
          </w:tcPr>
          <w:p w14:paraId="055530A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288</w:t>
            </w:r>
          </w:p>
        </w:tc>
      </w:tr>
      <w:tr w:rsidR="00807372" w:rsidRPr="0004432A" w14:paraId="14F6085E" w14:textId="77777777" w:rsidTr="004B4C03">
        <w:trPr>
          <w:trHeight w:val="222"/>
          <w:jc w:val="center"/>
        </w:trPr>
        <w:tc>
          <w:tcPr>
            <w:tcW w:w="924" w:type="dxa"/>
            <w:vMerge/>
            <w:vAlign w:val="center"/>
          </w:tcPr>
          <w:p w14:paraId="6B023A5C" w14:textId="77777777" w:rsidR="00842B09" w:rsidRPr="004B4C03" w:rsidRDefault="00842B09" w:rsidP="00807372">
            <w:pPr>
              <w:pStyle w:val="TAH0"/>
              <w:rPr>
                <w:rFonts w:cs="Arial"/>
                <w:szCs w:val="18"/>
              </w:rPr>
            </w:pPr>
          </w:p>
        </w:tc>
        <w:tc>
          <w:tcPr>
            <w:tcW w:w="995" w:type="dxa"/>
            <w:vAlign w:val="center"/>
          </w:tcPr>
          <w:p w14:paraId="4F85C31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200</w:t>
            </w:r>
          </w:p>
        </w:tc>
        <w:tc>
          <w:tcPr>
            <w:tcW w:w="869" w:type="dxa"/>
            <w:vAlign w:val="center"/>
          </w:tcPr>
          <w:p w14:paraId="599B6516"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8192</w:t>
            </w:r>
          </w:p>
        </w:tc>
        <w:tc>
          <w:tcPr>
            <w:tcW w:w="1447" w:type="dxa"/>
            <w:vAlign w:val="center"/>
          </w:tcPr>
          <w:p w14:paraId="3981DB4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245.76</w:t>
            </w:r>
          </w:p>
        </w:tc>
        <w:tc>
          <w:tcPr>
            <w:tcW w:w="1687" w:type="dxa"/>
            <w:vAlign w:val="center"/>
          </w:tcPr>
          <w:p w14:paraId="45C5136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6000/6600</w:t>
            </w:r>
          </w:p>
        </w:tc>
        <w:tc>
          <w:tcPr>
            <w:tcW w:w="1320" w:type="dxa"/>
            <w:vAlign w:val="center"/>
          </w:tcPr>
          <w:p w14:paraId="3486E2A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880</w:t>
            </w:r>
          </w:p>
        </w:tc>
        <w:tc>
          <w:tcPr>
            <w:tcW w:w="1320" w:type="dxa"/>
            <w:vAlign w:val="center"/>
          </w:tcPr>
          <w:p w14:paraId="35B251B9"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720</w:t>
            </w:r>
          </w:p>
        </w:tc>
      </w:tr>
      <w:tr w:rsidR="00807372" w:rsidRPr="0004432A" w14:paraId="3F2BB72D" w14:textId="77777777" w:rsidTr="004B4C03">
        <w:trPr>
          <w:trHeight w:val="222"/>
          <w:jc w:val="center"/>
        </w:trPr>
        <w:tc>
          <w:tcPr>
            <w:tcW w:w="924" w:type="dxa"/>
            <w:vMerge w:val="restart"/>
            <w:vAlign w:val="center"/>
          </w:tcPr>
          <w:p w14:paraId="3DABAFAD" w14:textId="77777777" w:rsidR="00842B09" w:rsidRPr="004B4C03" w:rsidRDefault="00842B09" w:rsidP="00807372">
            <w:pPr>
              <w:pStyle w:val="TAH0"/>
              <w:rPr>
                <w:rFonts w:cs="Arial"/>
                <w:szCs w:val="18"/>
              </w:rPr>
            </w:pPr>
            <w:r w:rsidRPr="004B4C03">
              <w:rPr>
                <w:rFonts w:cs="Arial"/>
                <w:szCs w:val="18"/>
              </w:rPr>
              <w:t>60</w:t>
            </w:r>
          </w:p>
        </w:tc>
        <w:tc>
          <w:tcPr>
            <w:tcW w:w="995" w:type="dxa"/>
            <w:vAlign w:val="center"/>
          </w:tcPr>
          <w:p w14:paraId="7E7F5C2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w:t>
            </w:r>
          </w:p>
        </w:tc>
        <w:tc>
          <w:tcPr>
            <w:tcW w:w="869" w:type="dxa"/>
            <w:vAlign w:val="center"/>
          </w:tcPr>
          <w:p w14:paraId="76FF625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128</w:t>
            </w:r>
          </w:p>
        </w:tc>
        <w:tc>
          <w:tcPr>
            <w:tcW w:w="1447" w:type="dxa"/>
            <w:vAlign w:val="center"/>
          </w:tcPr>
          <w:p w14:paraId="3E6C8E8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7.68</w:t>
            </w:r>
          </w:p>
        </w:tc>
        <w:tc>
          <w:tcPr>
            <w:tcW w:w="1687" w:type="dxa"/>
            <w:vAlign w:val="center"/>
          </w:tcPr>
          <w:p w14:paraId="65A4B2A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75/77.5</w:t>
            </w:r>
          </w:p>
        </w:tc>
        <w:tc>
          <w:tcPr>
            <w:tcW w:w="1320" w:type="dxa"/>
            <w:vAlign w:val="center"/>
          </w:tcPr>
          <w:p w14:paraId="7A67645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13</w:t>
            </w:r>
          </w:p>
        </w:tc>
        <w:tc>
          <w:tcPr>
            <w:tcW w:w="1320" w:type="dxa"/>
            <w:vAlign w:val="center"/>
          </w:tcPr>
          <w:p w14:paraId="6B8096F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9</w:t>
            </w:r>
          </w:p>
        </w:tc>
      </w:tr>
      <w:tr w:rsidR="00807372" w:rsidRPr="0004432A" w14:paraId="18DBC7BC" w14:textId="77777777" w:rsidTr="004B4C03">
        <w:trPr>
          <w:trHeight w:val="222"/>
          <w:jc w:val="center"/>
        </w:trPr>
        <w:tc>
          <w:tcPr>
            <w:tcW w:w="924" w:type="dxa"/>
            <w:vMerge/>
          </w:tcPr>
          <w:p w14:paraId="0B1F1D88"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43BC984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w:t>
            </w:r>
          </w:p>
        </w:tc>
        <w:tc>
          <w:tcPr>
            <w:tcW w:w="869" w:type="dxa"/>
            <w:vAlign w:val="center"/>
          </w:tcPr>
          <w:p w14:paraId="352A2279"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256</w:t>
            </w:r>
          </w:p>
        </w:tc>
        <w:tc>
          <w:tcPr>
            <w:tcW w:w="1447" w:type="dxa"/>
            <w:vAlign w:val="center"/>
          </w:tcPr>
          <w:p w14:paraId="2C79578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15.36</w:t>
            </w:r>
          </w:p>
        </w:tc>
        <w:tc>
          <w:tcPr>
            <w:tcW w:w="1687" w:type="dxa"/>
            <w:vAlign w:val="center"/>
          </w:tcPr>
          <w:p w14:paraId="461F61C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150/165</w:t>
            </w:r>
          </w:p>
        </w:tc>
        <w:tc>
          <w:tcPr>
            <w:tcW w:w="1320" w:type="dxa"/>
            <w:vAlign w:val="center"/>
          </w:tcPr>
          <w:p w14:paraId="3CF8098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26</w:t>
            </w:r>
          </w:p>
        </w:tc>
        <w:tc>
          <w:tcPr>
            <w:tcW w:w="1320" w:type="dxa"/>
            <w:vAlign w:val="center"/>
          </w:tcPr>
          <w:p w14:paraId="12927D4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18</w:t>
            </w:r>
          </w:p>
        </w:tc>
      </w:tr>
      <w:tr w:rsidR="00807372" w:rsidRPr="0004432A" w14:paraId="48AFD250" w14:textId="77777777" w:rsidTr="004B4C03">
        <w:trPr>
          <w:trHeight w:val="222"/>
          <w:jc w:val="center"/>
        </w:trPr>
        <w:tc>
          <w:tcPr>
            <w:tcW w:w="924" w:type="dxa"/>
            <w:vMerge/>
          </w:tcPr>
          <w:p w14:paraId="428A35B6"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4B3B6CB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w:t>
            </w:r>
          </w:p>
        </w:tc>
        <w:tc>
          <w:tcPr>
            <w:tcW w:w="869" w:type="dxa"/>
            <w:vAlign w:val="center"/>
          </w:tcPr>
          <w:p w14:paraId="41C6B45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512</w:t>
            </w:r>
          </w:p>
        </w:tc>
        <w:tc>
          <w:tcPr>
            <w:tcW w:w="1447" w:type="dxa"/>
            <w:vAlign w:val="center"/>
          </w:tcPr>
          <w:p w14:paraId="7F027F1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30.72</w:t>
            </w:r>
          </w:p>
        </w:tc>
        <w:tc>
          <w:tcPr>
            <w:tcW w:w="1687" w:type="dxa"/>
            <w:vAlign w:val="center"/>
          </w:tcPr>
          <w:p w14:paraId="1DD1B839"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300/330</w:t>
            </w:r>
          </w:p>
        </w:tc>
        <w:tc>
          <w:tcPr>
            <w:tcW w:w="1320" w:type="dxa"/>
            <w:vAlign w:val="center"/>
          </w:tcPr>
          <w:p w14:paraId="11951EB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52</w:t>
            </w:r>
          </w:p>
        </w:tc>
        <w:tc>
          <w:tcPr>
            <w:tcW w:w="1320" w:type="dxa"/>
            <w:vAlign w:val="center"/>
          </w:tcPr>
          <w:p w14:paraId="20C88C0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509DA3D0" w14:textId="77777777" w:rsidTr="004B4C03">
        <w:trPr>
          <w:trHeight w:val="222"/>
          <w:jc w:val="center"/>
        </w:trPr>
        <w:tc>
          <w:tcPr>
            <w:tcW w:w="924" w:type="dxa"/>
            <w:vMerge/>
          </w:tcPr>
          <w:p w14:paraId="1C2419A3"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2FF83C2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w:t>
            </w:r>
          </w:p>
        </w:tc>
        <w:tc>
          <w:tcPr>
            <w:tcW w:w="869" w:type="dxa"/>
            <w:vAlign w:val="center"/>
          </w:tcPr>
          <w:p w14:paraId="6127CDD9"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47" w:type="dxa"/>
            <w:vAlign w:val="center"/>
          </w:tcPr>
          <w:p w14:paraId="4F10F47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61.44</w:t>
            </w:r>
          </w:p>
        </w:tc>
        <w:tc>
          <w:tcPr>
            <w:tcW w:w="1687" w:type="dxa"/>
            <w:vAlign w:val="center"/>
          </w:tcPr>
          <w:p w14:paraId="587E817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600/660</w:t>
            </w:r>
          </w:p>
        </w:tc>
        <w:tc>
          <w:tcPr>
            <w:tcW w:w="1320" w:type="dxa"/>
            <w:vAlign w:val="center"/>
          </w:tcPr>
          <w:p w14:paraId="083AB4F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104</w:t>
            </w:r>
          </w:p>
        </w:tc>
        <w:tc>
          <w:tcPr>
            <w:tcW w:w="1320" w:type="dxa"/>
            <w:vAlign w:val="center"/>
          </w:tcPr>
          <w:p w14:paraId="4F3C1FD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540352FC" w14:textId="77777777" w:rsidTr="004B4C03">
        <w:trPr>
          <w:trHeight w:val="222"/>
          <w:jc w:val="center"/>
        </w:trPr>
        <w:tc>
          <w:tcPr>
            <w:tcW w:w="924" w:type="dxa"/>
            <w:vMerge/>
          </w:tcPr>
          <w:p w14:paraId="4AA24B50"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4F30135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80</w:t>
            </w:r>
          </w:p>
        </w:tc>
        <w:tc>
          <w:tcPr>
            <w:tcW w:w="869" w:type="dxa"/>
            <w:vAlign w:val="center"/>
          </w:tcPr>
          <w:p w14:paraId="026354F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47" w:type="dxa"/>
            <w:vAlign w:val="center"/>
          </w:tcPr>
          <w:p w14:paraId="37C039F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647C7A3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1200/1320</w:t>
            </w:r>
          </w:p>
        </w:tc>
        <w:tc>
          <w:tcPr>
            <w:tcW w:w="1320" w:type="dxa"/>
            <w:vAlign w:val="center"/>
          </w:tcPr>
          <w:p w14:paraId="16699DB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208</w:t>
            </w:r>
          </w:p>
        </w:tc>
        <w:tc>
          <w:tcPr>
            <w:tcW w:w="1320" w:type="dxa"/>
            <w:vAlign w:val="center"/>
          </w:tcPr>
          <w:p w14:paraId="6CD57556"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44216A13" w14:textId="77777777" w:rsidTr="004B4C03">
        <w:trPr>
          <w:trHeight w:val="222"/>
          <w:jc w:val="center"/>
        </w:trPr>
        <w:tc>
          <w:tcPr>
            <w:tcW w:w="924" w:type="dxa"/>
            <w:vMerge/>
          </w:tcPr>
          <w:p w14:paraId="1E93795F"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1AA3F39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100</w:t>
            </w:r>
          </w:p>
        </w:tc>
        <w:tc>
          <w:tcPr>
            <w:tcW w:w="869" w:type="dxa"/>
            <w:vAlign w:val="center"/>
          </w:tcPr>
          <w:p w14:paraId="1EC5165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47" w:type="dxa"/>
            <w:vAlign w:val="center"/>
          </w:tcPr>
          <w:p w14:paraId="09F7C93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01EE7416"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1500/1650</w:t>
            </w:r>
          </w:p>
        </w:tc>
        <w:tc>
          <w:tcPr>
            <w:tcW w:w="1320" w:type="dxa"/>
            <w:vAlign w:val="center"/>
          </w:tcPr>
          <w:p w14:paraId="33E8193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208</w:t>
            </w:r>
          </w:p>
        </w:tc>
        <w:tc>
          <w:tcPr>
            <w:tcW w:w="1320" w:type="dxa"/>
            <w:vAlign w:val="center"/>
          </w:tcPr>
          <w:p w14:paraId="6A1BB5F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713E84ED" w14:textId="77777777" w:rsidTr="004B4C03">
        <w:trPr>
          <w:trHeight w:val="39"/>
          <w:jc w:val="center"/>
        </w:trPr>
        <w:tc>
          <w:tcPr>
            <w:tcW w:w="924" w:type="dxa"/>
            <w:vMerge/>
          </w:tcPr>
          <w:p w14:paraId="50EF3976"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047C468D"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200</w:t>
            </w:r>
          </w:p>
        </w:tc>
        <w:tc>
          <w:tcPr>
            <w:tcW w:w="869" w:type="dxa"/>
            <w:vAlign w:val="center"/>
          </w:tcPr>
          <w:p w14:paraId="2EAB4B2B"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47" w:type="dxa"/>
            <w:vAlign w:val="center"/>
          </w:tcPr>
          <w:p w14:paraId="7C6F701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245.76</w:t>
            </w:r>
          </w:p>
        </w:tc>
        <w:tc>
          <w:tcPr>
            <w:tcW w:w="1687" w:type="dxa"/>
            <w:vAlign w:val="center"/>
          </w:tcPr>
          <w:p w14:paraId="5A2BD00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3000/3300</w:t>
            </w:r>
          </w:p>
        </w:tc>
        <w:tc>
          <w:tcPr>
            <w:tcW w:w="1320" w:type="dxa"/>
            <w:vAlign w:val="center"/>
          </w:tcPr>
          <w:p w14:paraId="5DD9C82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416</w:t>
            </w:r>
          </w:p>
        </w:tc>
        <w:tc>
          <w:tcPr>
            <w:tcW w:w="1320" w:type="dxa"/>
            <w:vAlign w:val="center"/>
          </w:tcPr>
          <w:p w14:paraId="06E0984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288</w:t>
            </w:r>
          </w:p>
        </w:tc>
      </w:tr>
    </w:tbl>
    <w:p w14:paraId="199B6B92" w14:textId="060B4D41" w:rsidR="00842B09" w:rsidRPr="004B4C03" w:rsidRDefault="00842B09" w:rsidP="00842B09">
      <w:pPr>
        <w:spacing w:before="240" w:line="288" w:lineRule="auto"/>
        <w:jc w:val="center"/>
        <w:rPr>
          <w:rFonts w:ascii="Arial" w:eastAsiaTheme="minorEastAsia" w:hAnsi="Arial"/>
          <w:b/>
          <w:lang w:eastAsia="ko-KR"/>
        </w:rPr>
      </w:pPr>
      <w:r w:rsidRPr="004B4C03">
        <w:rPr>
          <w:rFonts w:ascii="Arial" w:eastAsiaTheme="minorEastAsia" w:hAnsi="Arial"/>
          <w:b/>
          <w:lang w:eastAsia="ko-KR"/>
        </w:rPr>
        <w:t xml:space="preserve">Table </w:t>
      </w:r>
      <w:r w:rsidR="00807372" w:rsidRPr="004B4C03">
        <w:rPr>
          <w:rFonts w:ascii="Arial" w:eastAsiaTheme="minorEastAsia" w:hAnsi="Arial"/>
          <w:b/>
          <w:lang w:eastAsia="ko-KR"/>
        </w:rPr>
        <w:t>B</w:t>
      </w:r>
      <w:r w:rsidRPr="004B4C03">
        <w:rPr>
          <w:rFonts w:ascii="Arial" w:eastAsiaTheme="minorEastAsia" w:hAnsi="Arial"/>
          <w:b/>
          <w:lang w:eastAsia="ko-KR"/>
        </w:rPr>
        <w:t xml:space="preserve">: Potential </w:t>
      </w:r>
      <w:r w:rsidR="0004432A">
        <w:rPr>
          <w:rFonts w:ascii="Arial" w:eastAsiaTheme="minorEastAsia" w:hAnsi="Arial"/>
          <w:b/>
          <w:lang w:eastAsia="ko-KR"/>
        </w:rPr>
        <w:t xml:space="preserve">Set of </w:t>
      </w:r>
      <w:r w:rsidRPr="004B4C03">
        <w:rPr>
          <w:rFonts w:ascii="Arial" w:eastAsiaTheme="minorEastAsia" w:hAnsi="Arial"/>
          <w:b/>
          <w:lang w:eastAsia="ko-KR"/>
        </w:rPr>
        <w:t>Numerologies for Above-6GHz</w:t>
      </w:r>
    </w:p>
    <w:tbl>
      <w:tblPr>
        <w:tblStyle w:val="a6"/>
        <w:tblW w:w="0" w:type="auto"/>
        <w:jc w:val="center"/>
        <w:tblLook w:val="04A0" w:firstRow="1" w:lastRow="0" w:firstColumn="1" w:lastColumn="0" w:noHBand="0" w:noVBand="1"/>
      </w:tblPr>
      <w:tblGrid>
        <w:gridCol w:w="932"/>
        <w:gridCol w:w="1004"/>
        <w:gridCol w:w="876"/>
        <w:gridCol w:w="1460"/>
        <w:gridCol w:w="1702"/>
        <w:gridCol w:w="1333"/>
        <w:gridCol w:w="1333"/>
      </w:tblGrid>
      <w:tr w:rsidR="00807372" w:rsidRPr="0004432A" w14:paraId="4EE3994C" w14:textId="77777777" w:rsidTr="004B4C03">
        <w:trPr>
          <w:trHeight w:val="221"/>
          <w:jc w:val="center"/>
        </w:trPr>
        <w:tc>
          <w:tcPr>
            <w:tcW w:w="932" w:type="dxa"/>
            <w:vAlign w:val="center"/>
          </w:tcPr>
          <w:p w14:paraId="7A7A86EB" w14:textId="77777777" w:rsidR="00842B09" w:rsidRPr="004B4C03" w:rsidRDefault="00842B09" w:rsidP="00807372">
            <w:pPr>
              <w:pStyle w:val="TAH0"/>
              <w:rPr>
                <w:rFonts w:cs="Arial"/>
                <w:szCs w:val="18"/>
              </w:rPr>
            </w:pPr>
            <w:r w:rsidRPr="004B4C03">
              <w:rPr>
                <w:rFonts w:cs="Arial"/>
                <w:szCs w:val="18"/>
              </w:rPr>
              <w:t>SCS (kHz)</w:t>
            </w:r>
          </w:p>
        </w:tc>
        <w:tc>
          <w:tcPr>
            <w:tcW w:w="1004" w:type="dxa"/>
            <w:vAlign w:val="center"/>
          </w:tcPr>
          <w:p w14:paraId="4996DF21" w14:textId="77777777" w:rsidR="00842B09" w:rsidRPr="004B4C03" w:rsidRDefault="00842B09" w:rsidP="00807372">
            <w:pPr>
              <w:pStyle w:val="TAH0"/>
              <w:rPr>
                <w:rFonts w:cs="Arial"/>
                <w:szCs w:val="18"/>
              </w:rPr>
            </w:pPr>
            <w:r w:rsidRPr="004B4C03">
              <w:rPr>
                <w:rFonts w:cs="Arial"/>
                <w:szCs w:val="18"/>
              </w:rPr>
              <w:t>CBW (MHz)</w:t>
            </w:r>
          </w:p>
        </w:tc>
        <w:tc>
          <w:tcPr>
            <w:tcW w:w="876" w:type="dxa"/>
            <w:vAlign w:val="center"/>
          </w:tcPr>
          <w:p w14:paraId="3BFAD546" w14:textId="77777777" w:rsidR="00842B09" w:rsidRPr="004B4C03" w:rsidRDefault="00842B09" w:rsidP="00807372">
            <w:pPr>
              <w:pStyle w:val="TAH0"/>
              <w:rPr>
                <w:rFonts w:cs="Arial"/>
                <w:szCs w:val="18"/>
              </w:rPr>
            </w:pPr>
            <w:r w:rsidRPr="004B4C03">
              <w:rPr>
                <w:rFonts w:cs="Arial"/>
                <w:szCs w:val="18"/>
              </w:rPr>
              <w:t>FFT size</w:t>
            </w:r>
          </w:p>
        </w:tc>
        <w:tc>
          <w:tcPr>
            <w:tcW w:w="1460" w:type="dxa"/>
            <w:vAlign w:val="center"/>
          </w:tcPr>
          <w:p w14:paraId="20D4A191" w14:textId="77777777" w:rsidR="00842B09" w:rsidRPr="004B4C03" w:rsidRDefault="00842B09" w:rsidP="00807372">
            <w:pPr>
              <w:pStyle w:val="TAH0"/>
              <w:rPr>
                <w:rFonts w:cs="Arial"/>
                <w:szCs w:val="18"/>
              </w:rPr>
            </w:pPr>
            <w:r w:rsidRPr="004B4C03">
              <w:rPr>
                <w:rFonts w:cs="Arial"/>
                <w:szCs w:val="18"/>
              </w:rPr>
              <w:t>Sampling rate (MHz)</w:t>
            </w:r>
          </w:p>
        </w:tc>
        <w:tc>
          <w:tcPr>
            <w:tcW w:w="1702" w:type="dxa"/>
            <w:vAlign w:val="center"/>
          </w:tcPr>
          <w:p w14:paraId="184707ED" w14:textId="77777777" w:rsidR="00842B09" w:rsidRPr="004B4C03" w:rsidRDefault="00842B09" w:rsidP="00807372">
            <w:pPr>
              <w:pStyle w:val="TAH0"/>
              <w:rPr>
                <w:rFonts w:cs="Arial"/>
                <w:szCs w:val="18"/>
              </w:rPr>
            </w:pPr>
            <w:r w:rsidRPr="004B4C03">
              <w:rPr>
                <w:rFonts w:cs="Arial"/>
                <w:szCs w:val="18"/>
              </w:rPr>
              <w:t xml:space="preserve"># </w:t>
            </w:r>
            <w:r w:rsidRPr="004B4C03">
              <w:rPr>
                <w:rFonts w:eastAsiaTheme="minorEastAsia" w:cs="Arial"/>
                <w:szCs w:val="18"/>
                <w:lang w:eastAsia="ko-KR"/>
              </w:rPr>
              <w:t>of s</w:t>
            </w:r>
            <w:r w:rsidRPr="004B4C03">
              <w:rPr>
                <w:rFonts w:cs="Arial"/>
                <w:szCs w:val="18"/>
              </w:rPr>
              <w:t xml:space="preserve">ubcarriers (SU: </w:t>
            </w:r>
            <w:r w:rsidRPr="004B4C03">
              <w:rPr>
                <w:rFonts w:eastAsiaTheme="minorEastAsia" w:cs="Arial"/>
                <w:szCs w:val="18"/>
                <w:lang w:eastAsia="ko-KR"/>
              </w:rPr>
              <w:t>9</w:t>
            </w:r>
            <w:r w:rsidRPr="004B4C03">
              <w:rPr>
                <w:rFonts w:cs="Arial"/>
                <w:szCs w:val="18"/>
              </w:rPr>
              <w:t>0%/99%)</w:t>
            </w:r>
          </w:p>
        </w:tc>
        <w:tc>
          <w:tcPr>
            <w:tcW w:w="1333" w:type="dxa"/>
            <w:vAlign w:val="center"/>
          </w:tcPr>
          <w:p w14:paraId="7807D72D" w14:textId="77777777" w:rsidR="00842B09" w:rsidRPr="004B4C03" w:rsidRDefault="00842B09" w:rsidP="00807372">
            <w:pPr>
              <w:pStyle w:val="TAH0"/>
              <w:rPr>
                <w:rFonts w:cs="Arial"/>
                <w:szCs w:val="18"/>
              </w:rPr>
            </w:pPr>
            <w:r w:rsidRPr="004B4C03">
              <w:rPr>
                <w:rFonts w:cs="Arial"/>
                <w:szCs w:val="18"/>
              </w:rPr>
              <w:t xml:space="preserve"># </w:t>
            </w:r>
            <w:r w:rsidRPr="004B4C03">
              <w:rPr>
                <w:rFonts w:eastAsiaTheme="minorEastAsia" w:cs="Arial"/>
                <w:szCs w:val="18"/>
                <w:lang w:eastAsia="ko-KR"/>
              </w:rPr>
              <w:t xml:space="preserve">of </w:t>
            </w:r>
            <w:r w:rsidRPr="004B4C03">
              <w:rPr>
                <w:rFonts w:cs="Arial"/>
                <w:szCs w:val="18"/>
              </w:rPr>
              <w:t>samples for long CP</w:t>
            </w:r>
          </w:p>
        </w:tc>
        <w:tc>
          <w:tcPr>
            <w:tcW w:w="1333" w:type="dxa"/>
            <w:vAlign w:val="center"/>
          </w:tcPr>
          <w:p w14:paraId="5FD6CF82" w14:textId="77777777" w:rsidR="00842B09" w:rsidRPr="004B4C03" w:rsidRDefault="00842B09" w:rsidP="00807372">
            <w:pPr>
              <w:pStyle w:val="TAH0"/>
              <w:rPr>
                <w:rFonts w:cs="Arial"/>
                <w:szCs w:val="18"/>
              </w:rPr>
            </w:pPr>
            <w:r w:rsidRPr="004B4C03">
              <w:rPr>
                <w:rFonts w:cs="Arial"/>
                <w:szCs w:val="18"/>
              </w:rPr>
              <w:t>#</w:t>
            </w:r>
            <w:r w:rsidRPr="004B4C03">
              <w:rPr>
                <w:rFonts w:eastAsiaTheme="minorEastAsia" w:cs="Arial"/>
                <w:szCs w:val="18"/>
                <w:lang w:eastAsia="ko-KR"/>
              </w:rPr>
              <w:t xml:space="preserve"> of </w:t>
            </w:r>
            <w:r w:rsidRPr="004B4C03">
              <w:rPr>
                <w:rFonts w:cs="Arial"/>
                <w:szCs w:val="18"/>
              </w:rPr>
              <w:t xml:space="preserve"> samples for short CP</w:t>
            </w:r>
          </w:p>
        </w:tc>
      </w:tr>
      <w:tr w:rsidR="00807372" w:rsidRPr="0004432A" w14:paraId="4651249E" w14:textId="77777777" w:rsidTr="004B4C03">
        <w:trPr>
          <w:trHeight w:val="221"/>
          <w:jc w:val="center"/>
        </w:trPr>
        <w:tc>
          <w:tcPr>
            <w:tcW w:w="932" w:type="dxa"/>
            <w:vMerge w:val="restart"/>
            <w:vAlign w:val="center"/>
          </w:tcPr>
          <w:p w14:paraId="0C7CE81B" w14:textId="77777777" w:rsidR="00842B09" w:rsidRPr="004B4C03" w:rsidRDefault="00842B09" w:rsidP="00807372">
            <w:pPr>
              <w:pStyle w:val="TAH0"/>
              <w:rPr>
                <w:rFonts w:cs="Arial"/>
                <w:szCs w:val="18"/>
              </w:rPr>
            </w:pPr>
            <w:r w:rsidRPr="004B4C03">
              <w:rPr>
                <w:rFonts w:cs="Arial"/>
                <w:szCs w:val="18"/>
              </w:rPr>
              <w:t>60</w:t>
            </w:r>
          </w:p>
        </w:tc>
        <w:tc>
          <w:tcPr>
            <w:tcW w:w="1004" w:type="dxa"/>
            <w:vAlign w:val="center"/>
          </w:tcPr>
          <w:p w14:paraId="2EE1121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w:t>
            </w:r>
          </w:p>
        </w:tc>
        <w:tc>
          <w:tcPr>
            <w:tcW w:w="876" w:type="dxa"/>
            <w:vAlign w:val="center"/>
          </w:tcPr>
          <w:p w14:paraId="0B7F3A9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60" w:type="dxa"/>
            <w:vAlign w:val="center"/>
          </w:tcPr>
          <w:p w14:paraId="2AF6BA7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61.44</w:t>
            </w:r>
          </w:p>
        </w:tc>
        <w:tc>
          <w:tcPr>
            <w:tcW w:w="1702" w:type="dxa"/>
            <w:vAlign w:val="center"/>
          </w:tcPr>
          <w:p w14:paraId="565B853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600/660</w:t>
            </w:r>
          </w:p>
        </w:tc>
        <w:tc>
          <w:tcPr>
            <w:tcW w:w="1333" w:type="dxa"/>
            <w:vAlign w:val="center"/>
          </w:tcPr>
          <w:p w14:paraId="1012C56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104</w:t>
            </w:r>
          </w:p>
        </w:tc>
        <w:tc>
          <w:tcPr>
            <w:tcW w:w="1333" w:type="dxa"/>
            <w:vAlign w:val="center"/>
          </w:tcPr>
          <w:p w14:paraId="3B2CF21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0C495A90" w14:textId="77777777" w:rsidTr="004B4C03">
        <w:trPr>
          <w:trHeight w:val="221"/>
          <w:jc w:val="center"/>
        </w:trPr>
        <w:tc>
          <w:tcPr>
            <w:tcW w:w="932" w:type="dxa"/>
            <w:vMerge/>
            <w:vAlign w:val="center"/>
          </w:tcPr>
          <w:p w14:paraId="31F69252" w14:textId="77777777" w:rsidR="00842B09" w:rsidRPr="004B4C03" w:rsidRDefault="00842B09" w:rsidP="00807372">
            <w:pPr>
              <w:pStyle w:val="TAH0"/>
              <w:rPr>
                <w:rFonts w:cs="Arial"/>
                <w:szCs w:val="18"/>
              </w:rPr>
            </w:pPr>
          </w:p>
        </w:tc>
        <w:tc>
          <w:tcPr>
            <w:tcW w:w="1004" w:type="dxa"/>
            <w:vAlign w:val="center"/>
          </w:tcPr>
          <w:p w14:paraId="5B58343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80</w:t>
            </w:r>
          </w:p>
        </w:tc>
        <w:tc>
          <w:tcPr>
            <w:tcW w:w="876" w:type="dxa"/>
            <w:vAlign w:val="center"/>
          </w:tcPr>
          <w:p w14:paraId="61D83FC7"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60" w:type="dxa"/>
            <w:vAlign w:val="center"/>
          </w:tcPr>
          <w:p w14:paraId="4013A3AA"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4C7A7996"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1200/1320</w:t>
            </w:r>
          </w:p>
        </w:tc>
        <w:tc>
          <w:tcPr>
            <w:tcW w:w="1333" w:type="dxa"/>
            <w:vAlign w:val="center"/>
          </w:tcPr>
          <w:p w14:paraId="11975E9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208</w:t>
            </w:r>
          </w:p>
        </w:tc>
        <w:tc>
          <w:tcPr>
            <w:tcW w:w="1333" w:type="dxa"/>
            <w:vAlign w:val="center"/>
          </w:tcPr>
          <w:p w14:paraId="77156ED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3B9AF6D2" w14:textId="77777777" w:rsidTr="004B4C03">
        <w:trPr>
          <w:trHeight w:val="224"/>
          <w:jc w:val="center"/>
        </w:trPr>
        <w:tc>
          <w:tcPr>
            <w:tcW w:w="932" w:type="dxa"/>
            <w:vMerge/>
            <w:vAlign w:val="center"/>
          </w:tcPr>
          <w:p w14:paraId="75240BEB" w14:textId="77777777" w:rsidR="00842B09" w:rsidRPr="004B4C03" w:rsidRDefault="00842B09" w:rsidP="00807372">
            <w:pPr>
              <w:pStyle w:val="TAH0"/>
              <w:rPr>
                <w:rFonts w:cs="Arial"/>
                <w:szCs w:val="18"/>
              </w:rPr>
            </w:pPr>
          </w:p>
        </w:tc>
        <w:tc>
          <w:tcPr>
            <w:tcW w:w="1004" w:type="dxa"/>
            <w:vAlign w:val="center"/>
          </w:tcPr>
          <w:p w14:paraId="02EA2CC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100</w:t>
            </w:r>
          </w:p>
        </w:tc>
        <w:tc>
          <w:tcPr>
            <w:tcW w:w="876" w:type="dxa"/>
            <w:vAlign w:val="center"/>
          </w:tcPr>
          <w:p w14:paraId="6CC3E80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60" w:type="dxa"/>
            <w:vAlign w:val="center"/>
          </w:tcPr>
          <w:p w14:paraId="32A8BD9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0E7F30F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1500/1650</w:t>
            </w:r>
          </w:p>
        </w:tc>
        <w:tc>
          <w:tcPr>
            <w:tcW w:w="1333" w:type="dxa"/>
            <w:vAlign w:val="center"/>
          </w:tcPr>
          <w:p w14:paraId="4087248A"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208</w:t>
            </w:r>
          </w:p>
        </w:tc>
        <w:tc>
          <w:tcPr>
            <w:tcW w:w="1333" w:type="dxa"/>
            <w:vAlign w:val="center"/>
          </w:tcPr>
          <w:p w14:paraId="1B9198A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0E7F3058" w14:textId="77777777" w:rsidTr="004B4C03">
        <w:trPr>
          <w:trHeight w:val="221"/>
          <w:jc w:val="center"/>
        </w:trPr>
        <w:tc>
          <w:tcPr>
            <w:tcW w:w="932" w:type="dxa"/>
            <w:vMerge/>
            <w:vAlign w:val="center"/>
          </w:tcPr>
          <w:p w14:paraId="42FBA530" w14:textId="77777777" w:rsidR="00842B09" w:rsidRPr="004B4C03" w:rsidRDefault="00842B09" w:rsidP="00807372">
            <w:pPr>
              <w:pStyle w:val="TAH0"/>
              <w:rPr>
                <w:rFonts w:cs="Arial"/>
                <w:szCs w:val="18"/>
              </w:rPr>
            </w:pPr>
          </w:p>
        </w:tc>
        <w:tc>
          <w:tcPr>
            <w:tcW w:w="1004" w:type="dxa"/>
            <w:vAlign w:val="center"/>
          </w:tcPr>
          <w:p w14:paraId="4AFD068B"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200</w:t>
            </w:r>
          </w:p>
        </w:tc>
        <w:tc>
          <w:tcPr>
            <w:tcW w:w="876" w:type="dxa"/>
            <w:vAlign w:val="center"/>
          </w:tcPr>
          <w:p w14:paraId="67F0CFB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60" w:type="dxa"/>
            <w:vAlign w:val="center"/>
          </w:tcPr>
          <w:p w14:paraId="1C5EB6A5"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245.76</w:t>
            </w:r>
          </w:p>
        </w:tc>
        <w:tc>
          <w:tcPr>
            <w:tcW w:w="1702" w:type="dxa"/>
            <w:vAlign w:val="center"/>
          </w:tcPr>
          <w:p w14:paraId="78918CC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3000/3300</w:t>
            </w:r>
          </w:p>
        </w:tc>
        <w:tc>
          <w:tcPr>
            <w:tcW w:w="1333" w:type="dxa"/>
            <w:vAlign w:val="center"/>
          </w:tcPr>
          <w:p w14:paraId="02D2173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416</w:t>
            </w:r>
          </w:p>
        </w:tc>
        <w:tc>
          <w:tcPr>
            <w:tcW w:w="1333" w:type="dxa"/>
            <w:vAlign w:val="center"/>
          </w:tcPr>
          <w:p w14:paraId="50D174EB"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288</w:t>
            </w:r>
          </w:p>
        </w:tc>
      </w:tr>
      <w:tr w:rsidR="00807372" w:rsidRPr="0004432A" w14:paraId="3EECD1EB" w14:textId="77777777" w:rsidTr="004B4C03">
        <w:trPr>
          <w:trHeight w:val="221"/>
          <w:jc w:val="center"/>
        </w:trPr>
        <w:tc>
          <w:tcPr>
            <w:tcW w:w="932" w:type="dxa"/>
            <w:vMerge/>
            <w:vAlign w:val="center"/>
          </w:tcPr>
          <w:p w14:paraId="406E69B3" w14:textId="77777777" w:rsidR="00842B09" w:rsidRPr="004B4C03" w:rsidRDefault="00842B09" w:rsidP="00807372">
            <w:pPr>
              <w:pStyle w:val="TAH0"/>
              <w:rPr>
                <w:rFonts w:cs="Arial"/>
                <w:szCs w:val="18"/>
              </w:rPr>
            </w:pPr>
          </w:p>
        </w:tc>
        <w:tc>
          <w:tcPr>
            <w:tcW w:w="1004" w:type="dxa"/>
            <w:vAlign w:val="center"/>
          </w:tcPr>
          <w:p w14:paraId="66D9C7A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400</w:t>
            </w:r>
          </w:p>
        </w:tc>
        <w:tc>
          <w:tcPr>
            <w:tcW w:w="876" w:type="dxa"/>
            <w:vAlign w:val="center"/>
          </w:tcPr>
          <w:p w14:paraId="4BCE14E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8192</w:t>
            </w:r>
          </w:p>
        </w:tc>
        <w:tc>
          <w:tcPr>
            <w:tcW w:w="1460" w:type="dxa"/>
            <w:vAlign w:val="center"/>
          </w:tcPr>
          <w:p w14:paraId="3C04F90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491.52</w:t>
            </w:r>
          </w:p>
        </w:tc>
        <w:tc>
          <w:tcPr>
            <w:tcW w:w="1702" w:type="dxa"/>
            <w:vAlign w:val="center"/>
          </w:tcPr>
          <w:p w14:paraId="25D3295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6000/6600</w:t>
            </w:r>
          </w:p>
        </w:tc>
        <w:tc>
          <w:tcPr>
            <w:tcW w:w="1333" w:type="dxa"/>
            <w:vAlign w:val="center"/>
          </w:tcPr>
          <w:p w14:paraId="30E68CC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832</w:t>
            </w:r>
          </w:p>
        </w:tc>
        <w:tc>
          <w:tcPr>
            <w:tcW w:w="1333" w:type="dxa"/>
            <w:vAlign w:val="center"/>
          </w:tcPr>
          <w:p w14:paraId="17B2BC41"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576</w:t>
            </w:r>
          </w:p>
        </w:tc>
      </w:tr>
      <w:tr w:rsidR="00807372" w:rsidRPr="0004432A" w14:paraId="3B5C838F" w14:textId="77777777" w:rsidTr="004B4C03">
        <w:trPr>
          <w:trHeight w:val="227"/>
          <w:jc w:val="center"/>
        </w:trPr>
        <w:tc>
          <w:tcPr>
            <w:tcW w:w="932" w:type="dxa"/>
            <w:vMerge w:val="restart"/>
            <w:vAlign w:val="center"/>
          </w:tcPr>
          <w:p w14:paraId="1E3E0914" w14:textId="77777777" w:rsidR="00842B09" w:rsidRPr="004B4C03" w:rsidRDefault="00842B09" w:rsidP="00807372">
            <w:pPr>
              <w:pStyle w:val="TAH0"/>
              <w:rPr>
                <w:rFonts w:cs="Arial"/>
                <w:szCs w:val="18"/>
              </w:rPr>
            </w:pPr>
            <w:r w:rsidRPr="004B4C03">
              <w:rPr>
                <w:rFonts w:cs="Arial"/>
                <w:szCs w:val="18"/>
              </w:rPr>
              <w:t>120</w:t>
            </w:r>
          </w:p>
        </w:tc>
        <w:tc>
          <w:tcPr>
            <w:tcW w:w="1004" w:type="dxa"/>
            <w:vAlign w:val="center"/>
          </w:tcPr>
          <w:p w14:paraId="4CEEFC8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w:t>
            </w:r>
          </w:p>
        </w:tc>
        <w:tc>
          <w:tcPr>
            <w:tcW w:w="876" w:type="dxa"/>
            <w:vAlign w:val="center"/>
          </w:tcPr>
          <w:p w14:paraId="075AFD6C"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512</w:t>
            </w:r>
          </w:p>
        </w:tc>
        <w:tc>
          <w:tcPr>
            <w:tcW w:w="1460" w:type="dxa"/>
            <w:vAlign w:val="center"/>
          </w:tcPr>
          <w:p w14:paraId="48B8D00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61.44</w:t>
            </w:r>
          </w:p>
        </w:tc>
        <w:tc>
          <w:tcPr>
            <w:tcW w:w="1702" w:type="dxa"/>
            <w:vAlign w:val="center"/>
          </w:tcPr>
          <w:p w14:paraId="75128F4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300/330</w:t>
            </w:r>
          </w:p>
        </w:tc>
        <w:tc>
          <w:tcPr>
            <w:tcW w:w="1333" w:type="dxa"/>
            <w:vAlign w:val="center"/>
          </w:tcPr>
          <w:p w14:paraId="640FDA6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68</w:t>
            </w:r>
          </w:p>
        </w:tc>
        <w:tc>
          <w:tcPr>
            <w:tcW w:w="1333" w:type="dxa"/>
            <w:vAlign w:val="center"/>
          </w:tcPr>
          <w:p w14:paraId="4F3B91F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1824FC6F" w14:textId="77777777" w:rsidTr="004B4C03">
        <w:trPr>
          <w:trHeight w:val="227"/>
          <w:jc w:val="center"/>
        </w:trPr>
        <w:tc>
          <w:tcPr>
            <w:tcW w:w="932" w:type="dxa"/>
            <w:vMerge/>
            <w:vAlign w:val="center"/>
          </w:tcPr>
          <w:p w14:paraId="672FC6F5" w14:textId="77777777" w:rsidR="00842B09" w:rsidRPr="004B4C03" w:rsidRDefault="00842B09" w:rsidP="00807372">
            <w:pPr>
              <w:pStyle w:val="TAH0"/>
              <w:rPr>
                <w:rFonts w:cs="Arial"/>
                <w:szCs w:val="18"/>
              </w:rPr>
            </w:pPr>
          </w:p>
        </w:tc>
        <w:tc>
          <w:tcPr>
            <w:tcW w:w="1004" w:type="dxa"/>
            <w:vAlign w:val="center"/>
          </w:tcPr>
          <w:p w14:paraId="2EF0A62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80</w:t>
            </w:r>
          </w:p>
        </w:tc>
        <w:tc>
          <w:tcPr>
            <w:tcW w:w="876" w:type="dxa"/>
            <w:vAlign w:val="center"/>
          </w:tcPr>
          <w:p w14:paraId="6124123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60" w:type="dxa"/>
            <w:vAlign w:val="center"/>
          </w:tcPr>
          <w:p w14:paraId="3FDCC511"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1380F046"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600/660</w:t>
            </w:r>
          </w:p>
        </w:tc>
        <w:tc>
          <w:tcPr>
            <w:tcW w:w="1333" w:type="dxa"/>
            <w:vAlign w:val="center"/>
          </w:tcPr>
          <w:p w14:paraId="548E71C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136</w:t>
            </w:r>
          </w:p>
        </w:tc>
        <w:tc>
          <w:tcPr>
            <w:tcW w:w="1333" w:type="dxa"/>
            <w:vAlign w:val="center"/>
          </w:tcPr>
          <w:p w14:paraId="77AF38DA"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1D05D639" w14:textId="77777777" w:rsidTr="004B4C03">
        <w:trPr>
          <w:trHeight w:val="227"/>
          <w:jc w:val="center"/>
        </w:trPr>
        <w:tc>
          <w:tcPr>
            <w:tcW w:w="932" w:type="dxa"/>
            <w:vMerge/>
            <w:vAlign w:val="center"/>
          </w:tcPr>
          <w:p w14:paraId="5DF4DDE7" w14:textId="77777777" w:rsidR="00842B09" w:rsidRPr="004B4C03" w:rsidRDefault="00842B09" w:rsidP="00807372">
            <w:pPr>
              <w:pStyle w:val="TAH0"/>
              <w:rPr>
                <w:rFonts w:cs="Arial"/>
                <w:szCs w:val="18"/>
              </w:rPr>
            </w:pPr>
          </w:p>
        </w:tc>
        <w:tc>
          <w:tcPr>
            <w:tcW w:w="1004" w:type="dxa"/>
            <w:vAlign w:val="center"/>
          </w:tcPr>
          <w:p w14:paraId="15F1CDD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100</w:t>
            </w:r>
          </w:p>
        </w:tc>
        <w:tc>
          <w:tcPr>
            <w:tcW w:w="876" w:type="dxa"/>
            <w:vAlign w:val="center"/>
          </w:tcPr>
          <w:p w14:paraId="7873AD8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60" w:type="dxa"/>
            <w:vAlign w:val="center"/>
          </w:tcPr>
          <w:p w14:paraId="08D48210"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5B8E62D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750/775</w:t>
            </w:r>
          </w:p>
        </w:tc>
        <w:tc>
          <w:tcPr>
            <w:tcW w:w="1333" w:type="dxa"/>
            <w:vAlign w:val="center"/>
          </w:tcPr>
          <w:p w14:paraId="0073F4A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136</w:t>
            </w:r>
          </w:p>
        </w:tc>
        <w:tc>
          <w:tcPr>
            <w:tcW w:w="1333" w:type="dxa"/>
            <w:vAlign w:val="center"/>
          </w:tcPr>
          <w:p w14:paraId="7B7D9D3B"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66EED332" w14:textId="77777777" w:rsidTr="004B4C03">
        <w:trPr>
          <w:trHeight w:val="227"/>
          <w:jc w:val="center"/>
        </w:trPr>
        <w:tc>
          <w:tcPr>
            <w:tcW w:w="932" w:type="dxa"/>
            <w:vMerge/>
            <w:vAlign w:val="center"/>
          </w:tcPr>
          <w:p w14:paraId="03F81C68" w14:textId="77777777" w:rsidR="00842B09" w:rsidRPr="004B4C03" w:rsidRDefault="00842B09" w:rsidP="00807372">
            <w:pPr>
              <w:pStyle w:val="TAH0"/>
              <w:rPr>
                <w:rFonts w:cs="Arial"/>
                <w:szCs w:val="18"/>
              </w:rPr>
            </w:pPr>
          </w:p>
        </w:tc>
        <w:tc>
          <w:tcPr>
            <w:tcW w:w="1004" w:type="dxa"/>
            <w:vAlign w:val="center"/>
          </w:tcPr>
          <w:p w14:paraId="6066712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200</w:t>
            </w:r>
          </w:p>
        </w:tc>
        <w:tc>
          <w:tcPr>
            <w:tcW w:w="876" w:type="dxa"/>
            <w:vAlign w:val="center"/>
          </w:tcPr>
          <w:p w14:paraId="550F1DC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60" w:type="dxa"/>
            <w:vAlign w:val="center"/>
          </w:tcPr>
          <w:p w14:paraId="3FF597B5"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245.76</w:t>
            </w:r>
          </w:p>
        </w:tc>
        <w:tc>
          <w:tcPr>
            <w:tcW w:w="1702" w:type="dxa"/>
            <w:vAlign w:val="center"/>
          </w:tcPr>
          <w:p w14:paraId="4BC9DAB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1500/1650</w:t>
            </w:r>
          </w:p>
        </w:tc>
        <w:tc>
          <w:tcPr>
            <w:tcW w:w="1333" w:type="dxa"/>
            <w:vAlign w:val="center"/>
          </w:tcPr>
          <w:p w14:paraId="19D9524A"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272</w:t>
            </w:r>
          </w:p>
        </w:tc>
        <w:tc>
          <w:tcPr>
            <w:tcW w:w="1333" w:type="dxa"/>
            <w:vAlign w:val="center"/>
          </w:tcPr>
          <w:p w14:paraId="41369B41"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71CCF856" w14:textId="77777777" w:rsidTr="004B4C03">
        <w:trPr>
          <w:trHeight w:val="227"/>
          <w:jc w:val="center"/>
        </w:trPr>
        <w:tc>
          <w:tcPr>
            <w:tcW w:w="932" w:type="dxa"/>
            <w:vMerge/>
            <w:vAlign w:val="center"/>
          </w:tcPr>
          <w:p w14:paraId="7329030C" w14:textId="77777777" w:rsidR="00842B09" w:rsidRPr="004B4C03" w:rsidRDefault="00842B09" w:rsidP="00807372">
            <w:pPr>
              <w:pStyle w:val="TAH0"/>
              <w:rPr>
                <w:rFonts w:cs="Arial"/>
                <w:szCs w:val="18"/>
              </w:rPr>
            </w:pPr>
          </w:p>
        </w:tc>
        <w:tc>
          <w:tcPr>
            <w:tcW w:w="1004" w:type="dxa"/>
            <w:vAlign w:val="center"/>
          </w:tcPr>
          <w:p w14:paraId="0766D40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400</w:t>
            </w:r>
          </w:p>
        </w:tc>
        <w:tc>
          <w:tcPr>
            <w:tcW w:w="876" w:type="dxa"/>
            <w:vAlign w:val="center"/>
          </w:tcPr>
          <w:p w14:paraId="0EE1D7C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60" w:type="dxa"/>
            <w:vAlign w:val="center"/>
          </w:tcPr>
          <w:p w14:paraId="091EE99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491.52</w:t>
            </w:r>
          </w:p>
        </w:tc>
        <w:tc>
          <w:tcPr>
            <w:tcW w:w="1702" w:type="dxa"/>
            <w:vAlign w:val="center"/>
          </w:tcPr>
          <w:p w14:paraId="01F3537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3000/3300</w:t>
            </w:r>
          </w:p>
        </w:tc>
        <w:tc>
          <w:tcPr>
            <w:tcW w:w="1333" w:type="dxa"/>
            <w:vAlign w:val="center"/>
          </w:tcPr>
          <w:p w14:paraId="6ED4E1E0"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340</w:t>
            </w:r>
          </w:p>
        </w:tc>
        <w:tc>
          <w:tcPr>
            <w:tcW w:w="1333" w:type="dxa"/>
            <w:vAlign w:val="center"/>
          </w:tcPr>
          <w:p w14:paraId="77EA47A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288</w:t>
            </w:r>
          </w:p>
        </w:tc>
      </w:tr>
      <w:tr w:rsidR="00807372" w:rsidRPr="0004432A" w14:paraId="38191837" w14:textId="77777777" w:rsidTr="004B4C03">
        <w:trPr>
          <w:trHeight w:val="227"/>
          <w:jc w:val="center"/>
        </w:trPr>
        <w:tc>
          <w:tcPr>
            <w:tcW w:w="932" w:type="dxa"/>
            <w:vMerge w:val="restart"/>
            <w:vAlign w:val="center"/>
          </w:tcPr>
          <w:p w14:paraId="5F5FED82" w14:textId="77777777" w:rsidR="00842B09" w:rsidRPr="004B4C03" w:rsidRDefault="00842B09" w:rsidP="00807372">
            <w:pPr>
              <w:pStyle w:val="TAH0"/>
              <w:rPr>
                <w:rFonts w:cs="Arial"/>
                <w:szCs w:val="18"/>
              </w:rPr>
            </w:pPr>
            <w:r w:rsidRPr="004B4C03">
              <w:rPr>
                <w:rFonts w:cs="Arial"/>
                <w:szCs w:val="18"/>
              </w:rPr>
              <w:t>240</w:t>
            </w:r>
          </w:p>
        </w:tc>
        <w:tc>
          <w:tcPr>
            <w:tcW w:w="1004" w:type="dxa"/>
            <w:vAlign w:val="center"/>
          </w:tcPr>
          <w:p w14:paraId="7E276E36"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w:t>
            </w:r>
          </w:p>
        </w:tc>
        <w:tc>
          <w:tcPr>
            <w:tcW w:w="876" w:type="dxa"/>
            <w:vAlign w:val="center"/>
          </w:tcPr>
          <w:p w14:paraId="49BC1397"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256</w:t>
            </w:r>
          </w:p>
        </w:tc>
        <w:tc>
          <w:tcPr>
            <w:tcW w:w="1460" w:type="dxa"/>
            <w:vAlign w:val="center"/>
          </w:tcPr>
          <w:p w14:paraId="4F485901"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61.44</w:t>
            </w:r>
          </w:p>
        </w:tc>
        <w:tc>
          <w:tcPr>
            <w:tcW w:w="1702" w:type="dxa"/>
            <w:vAlign w:val="center"/>
          </w:tcPr>
          <w:p w14:paraId="258B4A57"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150/165</w:t>
            </w:r>
          </w:p>
        </w:tc>
        <w:tc>
          <w:tcPr>
            <w:tcW w:w="1333" w:type="dxa"/>
            <w:vAlign w:val="center"/>
          </w:tcPr>
          <w:p w14:paraId="6BAFB050"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50</w:t>
            </w:r>
          </w:p>
        </w:tc>
        <w:tc>
          <w:tcPr>
            <w:tcW w:w="1333" w:type="dxa"/>
            <w:vAlign w:val="center"/>
          </w:tcPr>
          <w:p w14:paraId="4E0BDC8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18</w:t>
            </w:r>
          </w:p>
        </w:tc>
      </w:tr>
      <w:tr w:rsidR="00807372" w:rsidRPr="0004432A" w14:paraId="6B4670DC" w14:textId="77777777" w:rsidTr="004B4C03">
        <w:trPr>
          <w:trHeight w:val="227"/>
          <w:jc w:val="center"/>
        </w:trPr>
        <w:tc>
          <w:tcPr>
            <w:tcW w:w="932" w:type="dxa"/>
            <w:vMerge/>
          </w:tcPr>
          <w:p w14:paraId="35C2CDA6" w14:textId="77777777" w:rsidR="00842B09" w:rsidRPr="004B4C03" w:rsidRDefault="00842B09" w:rsidP="00807372">
            <w:pPr>
              <w:spacing w:after="0" w:line="288" w:lineRule="auto"/>
              <w:jc w:val="both"/>
              <w:rPr>
                <w:sz w:val="18"/>
                <w:szCs w:val="18"/>
                <w:lang w:val="en-US" w:eastAsia="ko-KR"/>
              </w:rPr>
            </w:pPr>
          </w:p>
        </w:tc>
        <w:tc>
          <w:tcPr>
            <w:tcW w:w="1004" w:type="dxa"/>
            <w:vAlign w:val="center"/>
          </w:tcPr>
          <w:p w14:paraId="0D5820B7"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80</w:t>
            </w:r>
          </w:p>
        </w:tc>
        <w:tc>
          <w:tcPr>
            <w:tcW w:w="876" w:type="dxa"/>
            <w:vAlign w:val="center"/>
          </w:tcPr>
          <w:p w14:paraId="08EBC3E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512</w:t>
            </w:r>
          </w:p>
        </w:tc>
        <w:tc>
          <w:tcPr>
            <w:tcW w:w="1460" w:type="dxa"/>
            <w:vAlign w:val="center"/>
          </w:tcPr>
          <w:p w14:paraId="57C844D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39051171"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300/330</w:t>
            </w:r>
          </w:p>
        </w:tc>
        <w:tc>
          <w:tcPr>
            <w:tcW w:w="1333" w:type="dxa"/>
            <w:vAlign w:val="center"/>
          </w:tcPr>
          <w:p w14:paraId="127AFE2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100</w:t>
            </w:r>
          </w:p>
        </w:tc>
        <w:tc>
          <w:tcPr>
            <w:tcW w:w="1333" w:type="dxa"/>
            <w:vAlign w:val="center"/>
          </w:tcPr>
          <w:p w14:paraId="13742F47"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72135055" w14:textId="77777777" w:rsidTr="004B4C03">
        <w:trPr>
          <w:trHeight w:val="227"/>
          <w:jc w:val="center"/>
        </w:trPr>
        <w:tc>
          <w:tcPr>
            <w:tcW w:w="932" w:type="dxa"/>
            <w:vMerge/>
          </w:tcPr>
          <w:p w14:paraId="08649F5C" w14:textId="77777777" w:rsidR="00842B09" w:rsidRPr="004B4C03" w:rsidRDefault="00842B09" w:rsidP="00807372">
            <w:pPr>
              <w:spacing w:after="0" w:line="288" w:lineRule="auto"/>
              <w:jc w:val="both"/>
              <w:rPr>
                <w:sz w:val="18"/>
                <w:szCs w:val="18"/>
                <w:lang w:val="en-US" w:eastAsia="ko-KR"/>
              </w:rPr>
            </w:pPr>
          </w:p>
        </w:tc>
        <w:tc>
          <w:tcPr>
            <w:tcW w:w="1004" w:type="dxa"/>
            <w:vAlign w:val="center"/>
          </w:tcPr>
          <w:p w14:paraId="17425495"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100</w:t>
            </w:r>
          </w:p>
        </w:tc>
        <w:tc>
          <w:tcPr>
            <w:tcW w:w="876" w:type="dxa"/>
            <w:vAlign w:val="center"/>
          </w:tcPr>
          <w:p w14:paraId="66B3888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512</w:t>
            </w:r>
          </w:p>
        </w:tc>
        <w:tc>
          <w:tcPr>
            <w:tcW w:w="1460" w:type="dxa"/>
            <w:vAlign w:val="center"/>
          </w:tcPr>
          <w:p w14:paraId="1089B04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0D3CA30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375/387.5</w:t>
            </w:r>
          </w:p>
        </w:tc>
        <w:tc>
          <w:tcPr>
            <w:tcW w:w="1333" w:type="dxa"/>
            <w:vAlign w:val="center"/>
          </w:tcPr>
          <w:p w14:paraId="6A483550"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100</w:t>
            </w:r>
          </w:p>
        </w:tc>
        <w:tc>
          <w:tcPr>
            <w:tcW w:w="1333" w:type="dxa"/>
            <w:vAlign w:val="center"/>
          </w:tcPr>
          <w:p w14:paraId="6F32271C"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5061BA0E" w14:textId="77777777" w:rsidTr="004B4C03">
        <w:trPr>
          <w:trHeight w:val="227"/>
          <w:jc w:val="center"/>
        </w:trPr>
        <w:tc>
          <w:tcPr>
            <w:tcW w:w="932" w:type="dxa"/>
            <w:vMerge/>
          </w:tcPr>
          <w:p w14:paraId="69FDD41F" w14:textId="77777777" w:rsidR="00842B09" w:rsidRPr="004B4C03" w:rsidRDefault="00842B09" w:rsidP="00807372">
            <w:pPr>
              <w:spacing w:after="0" w:line="288" w:lineRule="auto"/>
              <w:jc w:val="both"/>
              <w:rPr>
                <w:sz w:val="18"/>
                <w:szCs w:val="18"/>
                <w:lang w:val="en-US" w:eastAsia="ko-KR"/>
              </w:rPr>
            </w:pPr>
          </w:p>
        </w:tc>
        <w:tc>
          <w:tcPr>
            <w:tcW w:w="1004" w:type="dxa"/>
            <w:vAlign w:val="center"/>
          </w:tcPr>
          <w:p w14:paraId="49BFA43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200</w:t>
            </w:r>
          </w:p>
        </w:tc>
        <w:tc>
          <w:tcPr>
            <w:tcW w:w="876" w:type="dxa"/>
            <w:vAlign w:val="center"/>
          </w:tcPr>
          <w:p w14:paraId="580BD4F4"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60" w:type="dxa"/>
            <w:vAlign w:val="center"/>
          </w:tcPr>
          <w:p w14:paraId="58F581F6"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245.76</w:t>
            </w:r>
          </w:p>
        </w:tc>
        <w:tc>
          <w:tcPr>
            <w:tcW w:w="1702" w:type="dxa"/>
            <w:vAlign w:val="center"/>
          </w:tcPr>
          <w:p w14:paraId="5D8794BB"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750/775</w:t>
            </w:r>
          </w:p>
        </w:tc>
        <w:tc>
          <w:tcPr>
            <w:tcW w:w="1333" w:type="dxa"/>
            <w:vAlign w:val="center"/>
          </w:tcPr>
          <w:p w14:paraId="3561A605"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200</w:t>
            </w:r>
          </w:p>
        </w:tc>
        <w:tc>
          <w:tcPr>
            <w:tcW w:w="1333" w:type="dxa"/>
            <w:vAlign w:val="center"/>
          </w:tcPr>
          <w:p w14:paraId="7E2AF0B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1AC8843B" w14:textId="77777777" w:rsidTr="004B4C03">
        <w:trPr>
          <w:trHeight w:val="227"/>
          <w:jc w:val="center"/>
        </w:trPr>
        <w:tc>
          <w:tcPr>
            <w:tcW w:w="932" w:type="dxa"/>
            <w:vMerge/>
          </w:tcPr>
          <w:p w14:paraId="502B84A0" w14:textId="77777777" w:rsidR="00842B09" w:rsidRPr="004B4C03" w:rsidRDefault="00842B09" w:rsidP="00807372">
            <w:pPr>
              <w:spacing w:after="0" w:line="288" w:lineRule="auto"/>
              <w:jc w:val="both"/>
              <w:rPr>
                <w:sz w:val="18"/>
                <w:szCs w:val="18"/>
                <w:lang w:val="en-US" w:eastAsia="ko-KR"/>
              </w:rPr>
            </w:pPr>
          </w:p>
        </w:tc>
        <w:tc>
          <w:tcPr>
            <w:tcW w:w="1004" w:type="dxa"/>
            <w:vAlign w:val="center"/>
          </w:tcPr>
          <w:p w14:paraId="308BCA4A"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400</w:t>
            </w:r>
          </w:p>
        </w:tc>
        <w:tc>
          <w:tcPr>
            <w:tcW w:w="876" w:type="dxa"/>
            <w:vAlign w:val="center"/>
          </w:tcPr>
          <w:p w14:paraId="7DDC3C64"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60" w:type="dxa"/>
            <w:vAlign w:val="center"/>
          </w:tcPr>
          <w:p w14:paraId="0505BB6C"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491.52</w:t>
            </w:r>
          </w:p>
        </w:tc>
        <w:tc>
          <w:tcPr>
            <w:tcW w:w="1702" w:type="dxa"/>
            <w:vAlign w:val="center"/>
          </w:tcPr>
          <w:p w14:paraId="47F3D1B6"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1500/1650</w:t>
            </w:r>
          </w:p>
        </w:tc>
        <w:tc>
          <w:tcPr>
            <w:tcW w:w="1333" w:type="dxa"/>
            <w:vAlign w:val="center"/>
          </w:tcPr>
          <w:p w14:paraId="6FC104C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400</w:t>
            </w:r>
          </w:p>
        </w:tc>
        <w:tc>
          <w:tcPr>
            <w:tcW w:w="1333" w:type="dxa"/>
            <w:vAlign w:val="center"/>
          </w:tcPr>
          <w:p w14:paraId="5AE192C5"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144</w:t>
            </w:r>
          </w:p>
        </w:tc>
      </w:tr>
    </w:tbl>
    <w:p w14:paraId="72E68D97" w14:textId="54BC0C61" w:rsidR="00842B09" w:rsidRDefault="00DE7C8E" w:rsidP="004B4C03">
      <w:pPr>
        <w:spacing w:before="240" w:line="288" w:lineRule="auto"/>
        <w:jc w:val="both"/>
      </w:pPr>
      <w:r>
        <w:rPr>
          <w:lang w:val="en-US" w:eastAsia="ko-KR"/>
        </w:rPr>
        <w:t xml:space="preserve">* Note: the </w:t>
      </w:r>
      <w:r w:rsidR="00842B09" w:rsidRPr="004B4C03">
        <w:rPr>
          <w:lang w:val="en-US" w:eastAsia="ko-KR"/>
        </w:rPr>
        <w:t>long CP refers to the longer CP needed in the 1</w:t>
      </w:r>
      <w:r w:rsidR="00842B09" w:rsidRPr="004B4C03">
        <w:rPr>
          <w:vertAlign w:val="superscript"/>
          <w:lang w:val="en-US" w:eastAsia="ko-KR"/>
        </w:rPr>
        <w:t>st</w:t>
      </w:r>
      <w:r w:rsidR="00842B09" w:rsidRPr="004B4C03">
        <w:rPr>
          <w:lang w:val="en-US" w:eastAsia="ko-KR"/>
        </w:rPr>
        <w:t xml:space="preserve"> symbol for time alignment with different numerologies (as per RAN1 agreements).</w:t>
      </w:r>
    </w:p>
    <w:sectPr w:rsidR="00842B09" w:rsidSect="00BD4CF4">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4C4F2" w14:textId="77777777" w:rsidR="008F1455" w:rsidRDefault="008F1455">
      <w:r>
        <w:separator/>
      </w:r>
    </w:p>
  </w:endnote>
  <w:endnote w:type="continuationSeparator" w:id="0">
    <w:p w14:paraId="2ED0787F" w14:textId="77777777" w:rsidR="008F1455" w:rsidRDefault="008F1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59416" w14:textId="77777777" w:rsidR="008F1455" w:rsidRDefault="008F1455">
      <w:r>
        <w:separator/>
      </w:r>
    </w:p>
  </w:footnote>
  <w:footnote w:type="continuationSeparator" w:id="0">
    <w:p w14:paraId="209D2C24" w14:textId="77777777" w:rsidR="008F1455" w:rsidRDefault="008F14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195DE" w14:textId="77777777" w:rsidR="00C35E53" w:rsidRDefault="00C35E5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341CCF"/>
    <w:multiLevelType w:val="hybridMultilevel"/>
    <w:tmpl w:val="D6308C0E"/>
    <w:lvl w:ilvl="0" w:tplc="5E1604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EE0558"/>
    <w:multiLevelType w:val="hybridMultilevel"/>
    <w:tmpl w:val="E034AB68"/>
    <w:lvl w:ilvl="0" w:tplc="58788B1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296197"/>
    <w:multiLevelType w:val="hybridMultilevel"/>
    <w:tmpl w:val="5580A868"/>
    <w:lvl w:ilvl="0" w:tplc="4258A086">
      <w:start w:val="1"/>
      <w:numFmt w:val="bullet"/>
      <w:lvlText w:val="•"/>
      <w:lvlJc w:val="left"/>
      <w:pPr>
        <w:tabs>
          <w:tab w:val="num" w:pos="720"/>
        </w:tabs>
        <w:ind w:left="720" w:hanging="360"/>
      </w:pPr>
      <w:rPr>
        <w:rFonts w:ascii="Arial" w:hAnsi="Arial" w:hint="default"/>
      </w:rPr>
    </w:lvl>
    <w:lvl w:ilvl="1" w:tplc="A950DAE2">
      <w:start w:val="1380"/>
      <w:numFmt w:val="bullet"/>
      <w:lvlText w:val="–"/>
      <w:lvlJc w:val="left"/>
      <w:pPr>
        <w:tabs>
          <w:tab w:val="num" w:pos="1440"/>
        </w:tabs>
        <w:ind w:left="1440" w:hanging="360"/>
      </w:pPr>
      <w:rPr>
        <w:rFonts w:ascii="Arial" w:hAnsi="Arial" w:hint="default"/>
      </w:rPr>
    </w:lvl>
    <w:lvl w:ilvl="2" w:tplc="B8ECB16C">
      <w:start w:val="1"/>
      <w:numFmt w:val="bullet"/>
      <w:lvlText w:val="•"/>
      <w:lvlJc w:val="left"/>
      <w:pPr>
        <w:tabs>
          <w:tab w:val="num" w:pos="2160"/>
        </w:tabs>
        <w:ind w:left="2160" w:hanging="360"/>
      </w:pPr>
      <w:rPr>
        <w:rFonts w:ascii="Arial" w:hAnsi="Arial" w:hint="default"/>
      </w:rPr>
    </w:lvl>
    <w:lvl w:ilvl="3" w:tplc="27E62784" w:tentative="1">
      <w:start w:val="1"/>
      <w:numFmt w:val="bullet"/>
      <w:lvlText w:val="•"/>
      <w:lvlJc w:val="left"/>
      <w:pPr>
        <w:tabs>
          <w:tab w:val="num" w:pos="2880"/>
        </w:tabs>
        <w:ind w:left="2880" w:hanging="360"/>
      </w:pPr>
      <w:rPr>
        <w:rFonts w:ascii="Arial" w:hAnsi="Arial" w:hint="default"/>
      </w:rPr>
    </w:lvl>
    <w:lvl w:ilvl="4" w:tplc="375AC838" w:tentative="1">
      <w:start w:val="1"/>
      <w:numFmt w:val="bullet"/>
      <w:lvlText w:val="•"/>
      <w:lvlJc w:val="left"/>
      <w:pPr>
        <w:tabs>
          <w:tab w:val="num" w:pos="3600"/>
        </w:tabs>
        <w:ind w:left="3600" w:hanging="360"/>
      </w:pPr>
      <w:rPr>
        <w:rFonts w:ascii="Arial" w:hAnsi="Arial" w:hint="default"/>
      </w:rPr>
    </w:lvl>
    <w:lvl w:ilvl="5" w:tplc="A7DC26EA" w:tentative="1">
      <w:start w:val="1"/>
      <w:numFmt w:val="bullet"/>
      <w:lvlText w:val="•"/>
      <w:lvlJc w:val="left"/>
      <w:pPr>
        <w:tabs>
          <w:tab w:val="num" w:pos="4320"/>
        </w:tabs>
        <w:ind w:left="4320" w:hanging="360"/>
      </w:pPr>
      <w:rPr>
        <w:rFonts w:ascii="Arial" w:hAnsi="Arial" w:hint="default"/>
      </w:rPr>
    </w:lvl>
    <w:lvl w:ilvl="6" w:tplc="2F3A285A" w:tentative="1">
      <w:start w:val="1"/>
      <w:numFmt w:val="bullet"/>
      <w:lvlText w:val="•"/>
      <w:lvlJc w:val="left"/>
      <w:pPr>
        <w:tabs>
          <w:tab w:val="num" w:pos="5040"/>
        </w:tabs>
        <w:ind w:left="5040" w:hanging="360"/>
      </w:pPr>
      <w:rPr>
        <w:rFonts w:ascii="Arial" w:hAnsi="Arial" w:hint="default"/>
      </w:rPr>
    </w:lvl>
    <w:lvl w:ilvl="7" w:tplc="836A059A" w:tentative="1">
      <w:start w:val="1"/>
      <w:numFmt w:val="bullet"/>
      <w:lvlText w:val="•"/>
      <w:lvlJc w:val="left"/>
      <w:pPr>
        <w:tabs>
          <w:tab w:val="num" w:pos="5760"/>
        </w:tabs>
        <w:ind w:left="5760" w:hanging="360"/>
      </w:pPr>
      <w:rPr>
        <w:rFonts w:ascii="Arial" w:hAnsi="Arial" w:hint="default"/>
      </w:rPr>
    </w:lvl>
    <w:lvl w:ilvl="8" w:tplc="4EFA35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74156F7"/>
    <w:multiLevelType w:val="hybridMultilevel"/>
    <w:tmpl w:val="0CEC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2196"/>
        </w:tabs>
        <w:ind w:left="219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B541254"/>
    <w:multiLevelType w:val="hybridMultilevel"/>
    <w:tmpl w:val="161EC2D6"/>
    <w:lvl w:ilvl="0" w:tplc="FAE02906">
      <w:start w:val="20"/>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CB04207"/>
    <w:multiLevelType w:val="hybridMultilevel"/>
    <w:tmpl w:val="F336E86A"/>
    <w:lvl w:ilvl="0" w:tplc="7BE683A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0C0AC7"/>
    <w:multiLevelType w:val="hybridMultilevel"/>
    <w:tmpl w:val="37785F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86EF0"/>
    <w:multiLevelType w:val="hybridMultilevel"/>
    <w:tmpl w:val="2760061E"/>
    <w:lvl w:ilvl="0" w:tplc="178CA936">
      <w:start w:val="1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7C80B54"/>
    <w:multiLevelType w:val="multilevel"/>
    <w:tmpl w:val="9A2AB9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A957202"/>
    <w:multiLevelType w:val="hybridMultilevel"/>
    <w:tmpl w:val="2870A25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6F4B0A"/>
    <w:multiLevelType w:val="multilevel"/>
    <w:tmpl w:val="E35827E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80E5AED"/>
    <w:multiLevelType w:val="hybridMultilevel"/>
    <w:tmpl w:val="9A66E3F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imSu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imSun"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1C7F90"/>
    <w:multiLevelType w:val="hybridMultilevel"/>
    <w:tmpl w:val="2902B7C8"/>
    <w:lvl w:ilvl="0" w:tplc="EDCEB3E0">
      <w:start w:val="1"/>
      <w:numFmt w:val="bullet"/>
      <w:lvlText w:val=""/>
      <w:lvlJc w:val="left"/>
      <w:pPr>
        <w:tabs>
          <w:tab w:val="num" w:pos="720"/>
        </w:tabs>
        <w:ind w:left="720" w:hanging="360"/>
      </w:pPr>
      <w:rPr>
        <w:rFonts w:ascii="Wingdings" w:hAnsi="Wingdings" w:hint="default"/>
      </w:rPr>
    </w:lvl>
    <w:lvl w:ilvl="1" w:tplc="32A2FEE4">
      <w:start w:val="47"/>
      <w:numFmt w:val="bullet"/>
      <w:lvlText w:val="•"/>
      <w:lvlJc w:val="left"/>
      <w:pPr>
        <w:tabs>
          <w:tab w:val="num" w:pos="1440"/>
        </w:tabs>
        <w:ind w:left="1440" w:hanging="360"/>
      </w:pPr>
      <w:rPr>
        <w:rFonts w:ascii="Arial" w:hAnsi="Arial" w:hint="default"/>
      </w:rPr>
    </w:lvl>
    <w:lvl w:ilvl="2" w:tplc="FD344968">
      <w:start w:val="47"/>
      <w:numFmt w:val="bullet"/>
      <w:lvlText w:val="—"/>
      <w:lvlJc w:val="left"/>
      <w:pPr>
        <w:tabs>
          <w:tab w:val="num" w:pos="2160"/>
        </w:tabs>
        <w:ind w:left="2160" w:hanging="360"/>
      </w:pPr>
      <w:rPr>
        <w:rFonts w:ascii="Calibri" w:hAnsi="Calibri" w:hint="default"/>
      </w:rPr>
    </w:lvl>
    <w:lvl w:ilvl="3" w:tplc="8E4A14EC" w:tentative="1">
      <w:start w:val="1"/>
      <w:numFmt w:val="bullet"/>
      <w:lvlText w:val=""/>
      <w:lvlJc w:val="left"/>
      <w:pPr>
        <w:tabs>
          <w:tab w:val="num" w:pos="2880"/>
        </w:tabs>
        <w:ind w:left="2880" w:hanging="360"/>
      </w:pPr>
      <w:rPr>
        <w:rFonts w:ascii="Wingdings" w:hAnsi="Wingdings" w:hint="default"/>
      </w:rPr>
    </w:lvl>
    <w:lvl w:ilvl="4" w:tplc="0AF26ABA" w:tentative="1">
      <w:start w:val="1"/>
      <w:numFmt w:val="bullet"/>
      <w:lvlText w:val=""/>
      <w:lvlJc w:val="left"/>
      <w:pPr>
        <w:tabs>
          <w:tab w:val="num" w:pos="3600"/>
        </w:tabs>
        <w:ind w:left="3600" w:hanging="360"/>
      </w:pPr>
      <w:rPr>
        <w:rFonts w:ascii="Wingdings" w:hAnsi="Wingdings" w:hint="default"/>
      </w:rPr>
    </w:lvl>
    <w:lvl w:ilvl="5" w:tplc="C810905A" w:tentative="1">
      <w:start w:val="1"/>
      <w:numFmt w:val="bullet"/>
      <w:lvlText w:val=""/>
      <w:lvlJc w:val="left"/>
      <w:pPr>
        <w:tabs>
          <w:tab w:val="num" w:pos="4320"/>
        </w:tabs>
        <w:ind w:left="4320" w:hanging="360"/>
      </w:pPr>
      <w:rPr>
        <w:rFonts w:ascii="Wingdings" w:hAnsi="Wingdings" w:hint="default"/>
      </w:rPr>
    </w:lvl>
    <w:lvl w:ilvl="6" w:tplc="55843E18" w:tentative="1">
      <w:start w:val="1"/>
      <w:numFmt w:val="bullet"/>
      <w:lvlText w:val=""/>
      <w:lvlJc w:val="left"/>
      <w:pPr>
        <w:tabs>
          <w:tab w:val="num" w:pos="5040"/>
        </w:tabs>
        <w:ind w:left="5040" w:hanging="360"/>
      </w:pPr>
      <w:rPr>
        <w:rFonts w:ascii="Wingdings" w:hAnsi="Wingdings" w:hint="default"/>
      </w:rPr>
    </w:lvl>
    <w:lvl w:ilvl="7" w:tplc="7278C8CA" w:tentative="1">
      <w:start w:val="1"/>
      <w:numFmt w:val="bullet"/>
      <w:lvlText w:val=""/>
      <w:lvlJc w:val="left"/>
      <w:pPr>
        <w:tabs>
          <w:tab w:val="num" w:pos="5760"/>
        </w:tabs>
        <w:ind w:left="5760" w:hanging="360"/>
      </w:pPr>
      <w:rPr>
        <w:rFonts w:ascii="Wingdings" w:hAnsi="Wingdings" w:hint="default"/>
      </w:rPr>
    </w:lvl>
    <w:lvl w:ilvl="8" w:tplc="6C12574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AE4322"/>
    <w:multiLevelType w:val="hybridMultilevel"/>
    <w:tmpl w:val="685AD16A"/>
    <w:lvl w:ilvl="0" w:tplc="7854982C">
      <w:start w:val="1"/>
      <w:numFmt w:val="bullet"/>
      <w:lvlText w:val="•"/>
      <w:lvlJc w:val="left"/>
      <w:pPr>
        <w:tabs>
          <w:tab w:val="num" w:pos="720"/>
        </w:tabs>
        <w:ind w:left="720" w:hanging="360"/>
      </w:pPr>
      <w:rPr>
        <w:rFonts w:ascii="Arial" w:hAnsi="Arial" w:hint="default"/>
      </w:rPr>
    </w:lvl>
    <w:lvl w:ilvl="1" w:tplc="6ACC973E">
      <w:start w:val="4018"/>
      <w:numFmt w:val="bullet"/>
      <w:lvlText w:val="–"/>
      <w:lvlJc w:val="left"/>
      <w:pPr>
        <w:tabs>
          <w:tab w:val="num" w:pos="1440"/>
        </w:tabs>
        <w:ind w:left="1440" w:hanging="360"/>
      </w:pPr>
      <w:rPr>
        <w:rFonts w:ascii="Arial" w:hAnsi="Arial" w:hint="default"/>
      </w:rPr>
    </w:lvl>
    <w:lvl w:ilvl="2" w:tplc="B7A01CB8" w:tentative="1">
      <w:start w:val="1"/>
      <w:numFmt w:val="bullet"/>
      <w:lvlText w:val="•"/>
      <w:lvlJc w:val="left"/>
      <w:pPr>
        <w:tabs>
          <w:tab w:val="num" w:pos="2160"/>
        </w:tabs>
        <w:ind w:left="2160" w:hanging="360"/>
      </w:pPr>
      <w:rPr>
        <w:rFonts w:ascii="Arial" w:hAnsi="Arial" w:hint="default"/>
      </w:rPr>
    </w:lvl>
    <w:lvl w:ilvl="3" w:tplc="240A17F2" w:tentative="1">
      <w:start w:val="1"/>
      <w:numFmt w:val="bullet"/>
      <w:lvlText w:val="•"/>
      <w:lvlJc w:val="left"/>
      <w:pPr>
        <w:tabs>
          <w:tab w:val="num" w:pos="2880"/>
        </w:tabs>
        <w:ind w:left="2880" w:hanging="360"/>
      </w:pPr>
      <w:rPr>
        <w:rFonts w:ascii="Arial" w:hAnsi="Arial" w:hint="default"/>
      </w:rPr>
    </w:lvl>
    <w:lvl w:ilvl="4" w:tplc="E2B83884" w:tentative="1">
      <w:start w:val="1"/>
      <w:numFmt w:val="bullet"/>
      <w:lvlText w:val="•"/>
      <w:lvlJc w:val="left"/>
      <w:pPr>
        <w:tabs>
          <w:tab w:val="num" w:pos="3600"/>
        </w:tabs>
        <w:ind w:left="3600" w:hanging="360"/>
      </w:pPr>
      <w:rPr>
        <w:rFonts w:ascii="Arial" w:hAnsi="Arial" w:hint="default"/>
      </w:rPr>
    </w:lvl>
    <w:lvl w:ilvl="5" w:tplc="893A0344" w:tentative="1">
      <w:start w:val="1"/>
      <w:numFmt w:val="bullet"/>
      <w:lvlText w:val="•"/>
      <w:lvlJc w:val="left"/>
      <w:pPr>
        <w:tabs>
          <w:tab w:val="num" w:pos="4320"/>
        </w:tabs>
        <w:ind w:left="4320" w:hanging="360"/>
      </w:pPr>
      <w:rPr>
        <w:rFonts w:ascii="Arial" w:hAnsi="Arial" w:hint="default"/>
      </w:rPr>
    </w:lvl>
    <w:lvl w:ilvl="6" w:tplc="9B48A9B2" w:tentative="1">
      <w:start w:val="1"/>
      <w:numFmt w:val="bullet"/>
      <w:lvlText w:val="•"/>
      <w:lvlJc w:val="left"/>
      <w:pPr>
        <w:tabs>
          <w:tab w:val="num" w:pos="5040"/>
        </w:tabs>
        <w:ind w:left="5040" w:hanging="360"/>
      </w:pPr>
      <w:rPr>
        <w:rFonts w:ascii="Arial" w:hAnsi="Arial" w:hint="default"/>
      </w:rPr>
    </w:lvl>
    <w:lvl w:ilvl="7" w:tplc="9FD65228" w:tentative="1">
      <w:start w:val="1"/>
      <w:numFmt w:val="bullet"/>
      <w:lvlText w:val="•"/>
      <w:lvlJc w:val="left"/>
      <w:pPr>
        <w:tabs>
          <w:tab w:val="num" w:pos="5760"/>
        </w:tabs>
        <w:ind w:left="5760" w:hanging="360"/>
      </w:pPr>
      <w:rPr>
        <w:rFonts w:ascii="Arial" w:hAnsi="Arial" w:hint="default"/>
      </w:rPr>
    </w:lvl>
    <w:lvl w:ilvl="8" w:tplc="5DA299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53308F"/>
    <w:multiLevelType w:val="hybridMultilevel"/>
    <w:tmpl w:val="594623A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A72BF1"/>
    <w:multiLevelType w:val="hybridMultilevel"/>
    <w:tmpl w:val="1596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6D1742C"/>
    <w:multiLevelType w:val="hybridMultilevel"/>
    <w:tmpl w:val="57FCE104"/>
    <w:lvl w:ilvl="0" w:tplc="3410AAD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437"/>
        </w:tabs>
        <w:ind w:left="443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19"/>
  </w:num>
  <w:num w:numId="3">
    <w:abstractNumId w:val="30"/>
  </w:num>
  <w:num w:numId="4">
    <w:abstractNumId w:val="38"/>
  </w:num>
  <w:num w:numId="5">
    <w:abstractNumId w:val="22"/>
  </w:num>
  <w:num w:numId="6">
    <w:abstractNumId w:val="20"/>
  </w:num>
  <w:num w:numId="7">
    <w:abstractNumId w:val="1"/>
  </w:num>
  <w:num w:numId="8">
    <w:abstractNumId w:val="4"/>
  </w:num>
  <w:num w:numId="9">
    <w:abstractNumId w:val="26"/>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9"/>
  </w:num>
  <w:num w:numId="15">
    <w:abstractNumId w:val="37"/>
  </w:num>
  <w:num w:numId="16">
    <w:abstractNumId w:val="23"/>
  </w:num>
  <w:num w:numId="17">
    <w:abstractNumId w:val="13"/>
  </w:num>
  <w:num w:numId="18">
    <w:abstractNumId w:val="9"/>
  </w:num>
  <w:num w:numId="19">
    <w:abstractNumId w:val="40"/>
  </w:num>
  <w:num w:numId="20">
    <w:abstractNumId w:val="17"/>
  </w:num>
  <w:num w:numId="21">
    <w:abstractNumId w:val="33"/>
  </w:num>
  <w:num w:numId="22">
    <w:abstractNumId w:val="24"/>
  </w:num>
  <w:num w:numId="23">
    <w:abstractNumId w:val="41"/>
  </w:num>
  <w:num w:numId="24">
    <w:abstractNumId w:val="31"/>
  </w:num>
  <w:num w:numId="25">
    <w:abstractNumId w:val="21"/>
  </w:num>
  <w:num w:numId="26">
    <w:abstractNumId w:val="27"/>
  </w:num>
  <w:num w:numId="27">
    <w:abstractNumId w:val="36"/>
  </w:num>
  <w:num w:numId="28">
    <w:abstractNumId w:val="11"/>
  </w:num>
  <w:num w:numId="29">
    <w:abstractNumId w:val="2"/>
  </w:num>
  <w:num w:numId="30">
    <w:abstractNumId w:val="34"/>
  </w:num>
  <w:num w:numId="31">
    <w:abstractNumId w:val="32"/>
  </w:num>
  <w:num w:numId="32">
    <w:abstractNumId w:val="25"/>
  </w:num>
  <w:num w:numId="33">
    <w:abstractNumId w:val="7"/>
  </w:num>
  <w:num w:numId="34">
    <w:abstractNumId w:val="35"/>
  </w:num>
  <w:num w:numId="35">
    <w:abstractNumId w:val="14"/>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10"/>
  </w:num>
  <w:num w:numId="38">
    <w:abstractNumId w:val="12"/>
  </w:num>
  <w:num w:numId="39">
    <w:abstractNumId w:val="18"/>
  </w:num>
  <w:num w:numId="40">
    <w:abstractNumId w:val="16"/>
  </w:num>
  <w:num w:numId="41">
    <w:abstractNumId w:val="3"/>
  </w:num>
  <w:num w:numId="42">
    <w:abstractNumId w:val="42"/>
  </w:num>
  <w:num w:numId="43">
    <w:abstractNumId w:val="28"/>
  </w:num>
  <w:num w:numId="44">
    <w:abstractNumId w:val="39"/>
  </w:num>
  <w:num w:numId="45">
    <w:abstractNumId w:val="12"/>
  </w:num>
  <w:num w:numId="46">
    <w:abstractNumId w:val="15"/>
  </w:num>
  <w:num w:numId="47">
    <w:abstractNumId w:val="8"/>
  </w:num>
  <w:num w:numId="4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16D0"/>
    <w:rsid w:val="00001C76"/>
    <w:rsid w:val="000020C0"/>
    <w:rsid w:val="00002A92"/>
    <w:rsid w:val="00002CB6"/>
    <w:rsid w:val="000033A8"/>
    <w:rsid w:val="00004076"/>
    <w:rsid w:val="00005774"/>
    <w:rsid w:val="00005855"/>
    <w:rsid w:val="00005951"/>
    <w:rsid w:val="00007907"/>
    <w:rsid w:val="00010910"/>
    <w:rsid w:val="00010921"/>
    <w:rsid w:val="00010C31"/>
    <w:rsid w:val="00011005"/>
    <w:rsid w:val="00011A53"/>
    <w:rsid w:val="00011FB1"/>
    <w:rsid w:val="00012357"/>
    <w:rsid w:val="00012D3C"/>
    <w:rsid w:val="00013220"/>
    <w:rsid w:val="0001401B"/>
    <w:rsid w:val="00014897"/>
    <w:rsid w:val="00014957"/>
    <w:rsid w:val="0001573B"/>
    <w:rsid w:val="000167DF"/>
    <w:rsid w:val="0001695D"/>
    <w:rsid w:val="000172F4"/>
    <w:rsid w:val="0002038B"/>
    <w:rsid w:val="00020697"/>
    <w:rsid w:val="000210FF"/>
    <w:rsid w:val="00021CA4"/>
    <w:rsid w:val="00022194"/>
    <w:rsid w:val="00022496"/>
    <w:rsid w:val="00022677"/>
    <w:rsid w:val="00022C4C"/>
    <w:rsid w:val="00022E33"/>
    <w:rsid w:val="00027A22"/>
    <w:rsid w:val="00030715"/>
    <w:rsid w:val="00030B6F"/>
    <w:rsid w:val="00030EA8"/>
    <w:rsid w:val="0003172D"/>
    <w:rsid w:val="0003271D"/>
    <w:rsid w:val="00032854"/>
    <w:rsid w:val="000359C4"/>
    <w:rsid w:val="000375ED"/>
    <w:rsid w:val="00040D18"/>
    <w:rsid w:val="0004152C"/>
    <w:rsid w:val="00042A5E"/>
    <w:rsid w:val="00043AFE"/>
    <w:rsid w:val="00043F06"/>
    <w:rsid w:val="0004432A"/>
    <w:rsid w:val="00045082"/>
    <w:rsid w:val="00046AB8"/>
    <w:rsid w:val="00046EDE"/>
    <w:rsid w:val="0005019A"/>
    <w:rsid w:val="00051AFF"/>
    <w:rsid w:val="00052776"/>
    <w:rsid w:val="000530AE"/>
    <w:rsid w:val="00053132"/>
    <w:rsid w:val="00053633"/>
    <w:rsid w:val="00053930"/>
    <w:rsid w:val="000543C0"/>
    <w:rsid w:val="00054AE1"/>
    <w:rsid w:val="000551A1"/>
    <w:rsid w:val="00055E7D"/>
    <w:rsid w:val="00055EC9"/>
    <w:rsid w:val="00056B06"/>
    <w:rsid w:val="00057250"/>
    <w:rsid w:val="0005738A"/>
    <w:rsid w:val="000575C1"/>
    <w:rsid w:val="00057853"/>
    <w:rsid w:val="00057CB5"/>
    <w:rsid w:val="00060151"/>
    <w:rsid w:val="00060B1D"/>
    <w:rsid w:val="000620CD"/>
    <w:rsid w:val="0006267E"/>
    <w:rsid w:val="00062716"/>
    <w:rsid w:val="000627C6"/>
    <w:rsid w:val="00063081"/>
    <w:rsid w:val="00063AC6"/>
    <w:rsid w:val="00065630"/>
    <w:rsid w:val="00065C00"/>
    <w:rsid w:val="0007119C"/>
    <w:rsid w:val="00072453"/>
    <w:rsid w:val="00072C1F"/>
    <w:rsid w:val="00073C42"/>
    <w:rsid w:val="00073E25"/>
    <w:rsid w:val="000755B5"/>
    <w:rsid w:val="0007650C"/>
    <w:rsid w:val="00076C44"/>
    <w:rsid w:val="00076E3C"/>
    <w:rsid w:val="00076FF5"/>
    <w:rsid w:val="000775AB"/>
    <w:rsid w:val="000817D8"/>
    <w:rsid w:val="00083457"/>
    <w:rsid w:val="00083849"/>
    <w:rsid w:val="00083DE3"/>
    <w:rsid w:val="0008519B"/>
    <w:rsid w:val="000862ED"/>
    <w:rsid w:val="00086364"/>
    <w:rsid w:val="00086A31"/>
    <w:rsid w:val="00086FAA"/>
    <w:rsid w:val="00087EEE"/>
    <w:rsid w:val="00087F06"/>
    <w:rsid w:val="000902E8"/>
    <w:rsid w:val="00090A57"/>
    <w:rsid w:val="00091C52"/>
    <w:rsid w:val="00092123"/>
    <w:rsid w:val="000934B6"/>
    <w:rsid w:val="000948FB"/>
    <w:rsid w:val="00094B22"/>
    <w:rsid w:val="00096D28"/>
    <w:rsid w:val="0009739B"/>
    <w:rsid w:val="000A0FAC"/>
    <w:rsid w:val="000A1D31"/>
    <w:rsid w:val="000A26F4"/>
    <w:rsid w:val="000A2D74"/>
    <w:rsid w:val="000A4785"/>
    <w:rsid w:val="000A5315"/>
    <w:rsid w:val="000A591F"/>
    <w:rsid w:val="000A6336"/>
    <w:rsid w:val="000A77A6"/>
    <w:rsid w:val="000B0B99"/>
    <w:rsid w:val="000B1FCD"/>
    <w:rsid w:val="000B25B1"/>
    <w:rsid w:val="000B264D"/>
    <w:rsid w:val="000B2B68"/>
    <w:rsid w:val="000B32FD"/>
    <w:rsid w:val="000B3369"/>
    <w:rsid w:val="000B4FD7"/>
    <w:rsid w:val="000B56DE"/>
    <w:rsid w:val="000B7E76"/>
    <w:rsid w:val="000C074E"/>
    <w:rsid w:val="000C0F99"/>
    <w:rsid w:val="000C14C1"/>
    <w:rsid w:val="000C2DAC"/>
    <w:rsid w:val="000C3A4B"/>
    <w:rsid w:val="000C56CE"/>
    <w:rsid w:val="000C650F"/>
    <w:rsid w:val="000C678E"/>
    <w:rsid w:val="000C7D54"/>
    <w:rsid w:val="000D00DD"/>
    <w:rsid w:val="000D101D"/>
    <w:rsid w:val="000D1026"/>
    <w:rsid w:val="000D1645"/>
    <w:rsid w:val="000D19F4"/>
    <w:rsid w:val="000D1CB9"/>
    <w:rsid w:val="000D1F27"/>
    <w:rsid w:val="000D1F29"/>
    <w:rsid w:val="000D25AC"/>
    <w:rsid w:val="000D2808"/>
    <w:rsid w:val="000D435D"/>
    <w:rsid w:val="000D4680"/>
    <w:rsid w:val="000D4806"/>
    <w:rsid w:val="000D5200"/>
    <w:rsid w:val="000D758A"/>
    <w:rsid w:val="000D77B5"/>
    <w:rsid w:val="000E0E6E"/>
    <w:rsid w:val="000E1471"/>
    <w:rsid w:val="000E1AF3"/>
    <w:rsid w:val="000E2201"/>
    <w:rsid w:val="000E34D6"/>
    <w:rsid w:val="000E35B3"/>
    <w:rsid w:val="000E48A4"/>
    <w:rsid w:val="000E512F"/>
    <w:rsid w:val="000E58A0"/>
    <w:rsid w:val="000E6539"/>
    <w:rsid w:val="000E7166"/>
    <w:rsid w:val="000F021D"/>
    <w:rsid w:val="000F0D83"/>
    <w:rsid w:val="000F28A5"/>
    <w:rsid w:val="000F2916"/>
    <w:rsid w:val="000F3287"/>
    <w:rsid w:val="000F3AB3"/>
    <w:rsid w:val="000F433B"/>
    <w:rsid w:val="000F5574"/>
    <w:rsid w:val="000F5D7C"/>
    <w:rsid w:val="000F60C9"/>
    <w:rsid w:val="000F762B"/>
    <w:rsid w:val="000F7A66"/>
    <w:rsid w:val="00100CCE"/>
    <w:rsid w:val="0010112F"/>
    <w:rsid w:val="00101AC6"/>
    <w:rsid w:val="00101FE9"/>
    <w:rsid w:val="00102506"/>
    <w:rsid w:val="001038BF"/>
    <w:rsid w:val="00103FB1"/>
    <w:rsid w:val="00104BD6"/>
    <w:rsid w:val="00106085"/>
    <w:rsid w:val="001067FF"/>
    <w:rsid w:val="00106E00"/>
    <w:rsid w:val="00106F9A"/>
    <w:rsid w:val="001078D6"/>
    <w:rsid w:val="00107C3A"/>
    <w:rsid w:val="001111C4"/>
    <w:rsid w:val="00111454"/>
    <w:rsid w:val="00112333"/>
    <w:rsid w:val="00112A63"/>
    <w:rsid w:val="00112A78"/>
    <w:rsid w:val="00114203"/>
    <w:rsid w:val="00114A88"/>
    <w:rsid w:val="00114EB4"/>
    <w:rsid w:val="00114EDB"/>
    <w:rsid w:val="00114F39"/>
    <w:rsid w:val="001155B8"/>
    <w:rsid w:val="001159AD"/>
    <w:rsid w:val="00115AB2"/>
    <w:rsid w:val="001161C9"/>
    <w:rsid w:val="0011739B"/>
    <w:rsid w:val="00117B15"/>
    <w:rsid w:val="00117D32"/>
    <w:rsid w:val="00120B93"/>
    <w:rsid w:val="00121508"/>
    <w:rsid w:val="0012156A"/>
    <w:rsid w:val="001219C2"/>
    <w:rsid w:val="00121AC2"/>
    <w:rsid w:val="0012303A"/>
    <w:rsid w:val="00123B51"/>
    <w:rsid w:val="00127AD3"/>
    <w:rsid w:val="0013023F"/>
    <w:rsid w:val="0013041F"/>
    <w:rsid w:val="00130A5C"/>
    <w:rsid w:val="00131748"/>
    <w:rsid w:val="00132CCB"/>
    <w:rsid w:val="00133026"/>
    <w:rsid w:val="00133527"/>
    <w:rsid w:val="00135071"/>
    <w:rsid w:val="00135EB0"/>
    <w:rsid w:val="00136E4B"/>
    <w:rsid w:val="00137048"/>
    <w:rsid w:val="00137383"/>
    <w:rsid w:val="001379DE"/>
    <w:rsid w:val="0014063F"/>
    <w:rsid w:val="00140E28"/>
    <w:rsid w:val="00141472"/>
    <w:rsid w:val="0014221A"/>
    <w:rsid w:val="0014343A"/>
    <w:rsid w:val="0014359C"/>
    <w:rsid w:val="001437A2"/>
    <w:rsid w:val="00143869"/>
    <w:rsid w:val="001450CD"/>
    <w:rsid w:val="0014559A"/>
    <w:rsid w:val="00146DE6"/>
    <w:rsid w:val="001471E4"/>
    <w:rsid w:val="00147305"/>
    <w:rsid w:val="00147CAA"/>
    <w:rsid w:val="001503B7"/>
    <w:rsid w:val="001535A8"/>
    <w:rsid w:val="0015445A"/>
    <w:rsid w:val="00155943"/>
    <w:rsid w:val="00157AD2"/>
    <w:rsid w:val="00162392"/>
    <w:rsid w:val="0016367A"/>
    <w:rsid w:val="001639BD"/>
    <w:rsid w:val="00164498"/>
    <w:rsid w:val="001649A0"/>
    <w:rsid w:val="0016551E"/>
    <w:rsid w:val="001656C0"/>
    <w:rsid w:val="00166B83"/>
    <w:rsid w:val="0016793B"/>
    <w:rsid w:val="00167F3F"/>
    <w:rsid w:val="0017033E"/>
    <w:rsid w:val="00170CD5"/>
    <w:rsid w:val="00171C86"/>
    <w:rsid w:val="00171E74"/>
    <w:rsid w:val="00172663"/>
    <w:rsid w:val="00172F35"/>
    <w:rsid w:val="00173F11"/>
    <w:rsid w:val="00175062"/>
    <w:rsid w:val="001756F1"/>
    <w:rsid w:val="00176B67"/>
    <w:rsid w:val="001772D2"/>
    <w:rsid w:val="00177303"/>
    <w:rsid w:val="00180AD4"/>
    <w:rsid w:val="00180CFB"/>
    <w:rsid w:val="001811D3"/>
    <w:rsid w:val="00181509"/>
    <w:rsid w:val="00181899"/>
    <w:rsid w:val="00181F7D"/>
    <w:rsid w:val="00182E06"/>
    <w:rsid w:val="00182F58"/>
    <w:rsid w:val="00184388"/>
    <w:rsid w:val="00184848"/>
    <w:rsid w:val="001850D6"/>
    <w:rsid w:val="00185AB2"/>
    <w:rsid w:val="001866C3"/>
    <w:rsid w:val="00187DAE"/>
    <w:rsid w:val="00190B32"/>
    <w:rsid w:val="001911AC"/>
    <w:rsid w:val="0019161B"/>
    <w:rsid w:val="0019499E"/>
    <w:rsid w:val="00196998"/>
    <w:rsid w:val="00196B28"/>
    <w:rsid w:val="0019735B"/>
    <w:rsid w:val="00197743"/>
    <w:rsid w:val="00197BA4"/>
    <w:rsid w:val="001A00D9"/>
    <w:rsid w:val="001A2884"/>
    <w:rsid w:val="001A3681"/>
    <w:rsid w:val="001A3AFD"/>
    <w:rsid w:val="001A3EC6"/>
    <w:rsid w:val="001A4A07"/>
    <w:rsid w:val="001A53DF"/>
    <w:rsid w:val="001A56C7"/>
    <w:rsid w:val="001A624C"/>
    <w:rsid w:val="001A7C4B"/>
    <w:rsid w:val="001B010D"/>
    <w:rsid w:val="001B0D8A"/>
    <w:rsid w:val="001B1D24"/>
    <w:rsid w:val="001B1FAD"/>
    <w:rsid w:val="001B2AA7"/>
    <w:rsid w:val="001B39D2"/>
    <w:rsid w:val="001B40AA"/>
    <w:rsid w:val="001B620C"/>
    <w:rsid w:val="001B73F7"/>
    <w:rsid w:val="001B7B86"/>
    <w:rsid w:val="001C0292"/>
    <w:rsid w:val="001C06AA"/>
    <w:rsid w:val="001C0F19"/>
    <w:rsid w:val="001C0FBD"/>
    <w:rsid w:val="001C186D"/>
    <w:rsid w:val="001C1E17"/>
    <w:rsid w:val="001C2D74"/>
    <w:rsid w:val="001C3462"/>
    <w:rsid w:val="001C3694"/>
    <w:rsid w:val="001C46E4"/>
    <w:rsid w:val="001C62D6"/>
    <w:rsid w:val="001C64AB"/>
    <w:rsid w:val="001C6890"/>
    <w:rsid w:val="001C76C5"/>
    <w:rsid w:val="001C7CCA"/>
    <w:rsid w:val="001D04EE"/>
    <w:rsid w:val="001D0661"/>
    <w:rsid w:val="001D07C2"/>
    <w:rsid w:val="001D0ACE"/>
    <w:rsid w:val="001D0C91"/>
    <w:rsid w:val="001D0D60"/>
    <w:rsid w:val="001D0FD7"/>
    <w:rsid w:val="001D1528"/>
    <w:rsid w:val="001D2861"/>
    <w:rsid w:val="001D3AC1"/>
    <w:rsid w:val="001D4091"/>
    <w:rsid w:val="001D518C"/>
    <w:rsid w:val="001D524E"/>
    <w:rsid w:val="001D5718"/>
    <w:rsid w:val="001D5C2A"/>
    <w:rsid w:val="001D61B8"/>
    <w:rsid w:val="001E01A3"/>
    <w:rsid w:val="001E083E"/>
    <w:rsid w:val="001E0954"/>
    <w:rsid w:val="001E2551"/>
    <w:rsid w:val="001E287B"/>
    <w:rsid w:val="001E5210"/>
    <w:rsid w:val="001E6796"/>
    <w:rsid w:val="001E7A55"/>
    <w:rsid w:val="001E7B19"/>
    <w:rsid w:val="001F1669"/>
    <w:rsid w:val="001F2638"/>
    <w:rsid w:val="001F28FD"/>
    <w:rsid w:val="001F3815"/>
    <w:rsid w:val="001F3BD8"/>
    <w:rsid w:val="001F4519"/>
    <w:rsid w:val="001F516D"/>
    <w:rsid w:val="001F5199"/>
    <w:rsid w:val="001F5218"/>
    <w:rsid w:val="001F6298"/>
    <w:rsid w:val="001F6EDF"/>
    <w:rsid w:val="001F6F91"/>
    <w:rsid w:val="001F7C2B"/>
    <w:rsid w:val="00200069"/>
    <w:rsid w:val="00202049"/>
    <w:rsid w:val="0020211C"/>
    <w:rsid w:val="00202279"/>
    <w:rsid w:val="00202451"/>
    <w:rsid w:val="00202BE0"/>
    <w:rsid w:val="002044FD"/>
    <w:rsid w:val="002051F8"/>
    <w:rsid w:val="00205913"/>
    <w:rsid w:val="00205DF1"/>
    <w:rsid w:val="00210E00"/>
    <w:rsid w:val="00211195"/>
    <w:rsid w:val="0021177B"/>
    <w:rsid w:val="0021354A"/>
    <w:rsid w:val="00214221"/>
    <w:rsid w:val="0021488F"/>
    <w:rsid w:val="0021554F"/>
    <w:rsid w:val="0021595D"/>
    <w:rsid w:val="002160F1"/>
    <w:rsid w:val="002164F7"/>
    <w:rsid w:val="00217130"/>
    <w:rsid w:val="0021758D"/>
    <w:rsid w:val="002177FD"/>
    <w:rsid w:val="00217AA4"/>
    <w:rsid w:val="002206CE"/>
    <w:rsid w:val="00220CE6"/>
    <w:rsid w:val="00221014"/>
    <w:rsid w:val="00221965"/>
    <w:rsid w:val="00222B5E"/>
    <w:rsid w:val="002234ED"/>
    <w:rsid w:val="00223BC8"/>
    <w:rsid w:val="00223D1A"/>
    <w:rsid w:val="00225263"/>
    <w:rsid w:val="00225F1F"/>
    <w:rsid w:val="00225F6B"/>
    <w:rsid w:val="00227E85"/>
    <w:rsid w:val="002302CD"/>
    <w:rsid w:val="00230369"/>
    <w:rsid w:val="00232052"/>
    <w:rsid w:val="00232886"/>
    <w:rsid w:val="00233868"/>
    <w:rsid w:val="002354CF"/>
    <w:rsid w:val="00235759"/>
    <w:rsid w:val="0023789F"/>
    <w:rsid w:val="00237EB6"/>
    <w:rsid w:val="0024012A"/>
    <w:rsid w:val="00240808"/>
    <w:rsid w:val="00240A8C"/>
    <w:rsid w:val="0024133B"/>
    <w:rsid w:val="00242798"/>
    <w:rsid w:val="002428B8"/>
    <w:rsid w:val="00242921"/>
    <w:rsid w:val="00244EF2"/>
    <w:rsid w:val="00245C3D"/>
    <w:rsid w:val="002469F1"/>
    <w:rsid w:val="0024758D"/>
    <w:rsid w:val="00250370"/>
    <w:rsid w:val="00251DAC"/>
    <w:rsid w:val="0025287D"/>
    <w:rsid w:val="00252B96"/>
    <w:rsid w:val="00254D8C"/>
    <w:rsid w:val="002558D5"/>
    <w:rsid w:val="002562C5"/>
    <w:rsid w:val="0025697E"/>
    <w:rsid w:val="00256CDC"/>
    <w:rsid w:val="00257528"/>
    <w:rsid w:val="002576FF"/>
    <w:rsid w:val="002577B8"/>
    <w:rsid w:val="00257F7E"/>
    <w:rsid w:val="002600E6"/>
    <w:rsid w:val="002607FC"/>
    <w:rsid w:val="002608AE"/>
    <w:rsid w:val="0026156C"/>
    <w:rsid w:val="00261808"/>
    <w:rsid w:val="00261970"/>
    <w:rsid w:val="002624DF"/>
    <w:rsid w:val="00262587"/>
    <w:rsid w:val="002637D9"/>
    <w:rsid w:val="002638DC"/>
    <w:rsid w:val="00264DBB"/>
    <w:rsid w:val="00266890"/>
    <w:rsid w:val="00266901"/>
    <w:rsid w:val="00266A3B"/>
    <w:rsid w:val="002679C3"/>
    <w:rsid w:val="00270425"/>
    <w:rsid w:val="0027050B"/>
    <w:rsid w:val="00270B28"/>
    <w:rsid w:val="002714B9"/>
    <w:rsid w:val="00271B43"/>
    <w:rsid w:val="00271FF9"/>
    <w:rsid w:val="00272B91"/>
    <w:rsid w:val="002738B0"/>
    <w:rsid w:val="002738CD"/>
    <w:rsid w:val="00274128"/>
    <w:rsid w:val="00274425"/>
    <w:rsid w:val="00274B12"/>
    <w:rsid w:val="00274B8B"/>
    <w:rsid w:val="0027509F"/>
    <w:rsid w:val="002757AF"/>
    <w:rsid w:val="0027602A"/>
    <w:rsid w:val="002765EF"/>
    <w:rsid w:val="00276CF6"/>
    <w:rsid w:val="00277131"/>
    <w:rsid w:val="002779F6"/>
    <w:rsid w:val="00277F82"/>
    <w:rsid w:val="00277FF8"/>
    <w:rsid w:val="00280698"/>
    <w:rsid w:val="00280A79"/>
    <w:rsid w:val="00280D04"/>
    <w:rsid w:val="00280DEA"/>
    <w:rsid w:val="00281464"/>
    <w:rsid w:val="002823A4"/>
    <w:rsid w:val="00282DB7"/>
    <w:rsid w:val="00283135"/>
    <w:rsid w:val="002831F2"/>
    <w:rsid w:val="00284524"/>
    <w:rsid w:val="002852BE"/>
    <w:rsid w:val="002867E6"/>
    <w:rsid w:val="00286C60"/>
    <w:rsid w:val="00287405"/>
    <w:rsid w:val="002876DD"/>
    <w:rsid w:val="0028777E"/>
    <w:rsid w:val="00287951"/>
    <w:rsid w:val="00287A82"/>
    <w:rsid w:val="00287C21"/>
    <w:rsid w:val="00287F14"/>
    <w:rsid w:val="002904E3"/>
    <w:rsid w:val="00290AEF"/>
    <w:rsid w:val="00290BE2"/>
    <w:rsid w:val="0029296E"/>
    <w:rsid w:val="00293741"/>
    <w:rsid w:val="002938B1"/>
    <w:rsid w:val="00293CAF"/>
    <w:rsid w:val="00293E6E"/>
    <w:rsid w:val="00294508"/>
    <w:rsid w:val="00294FAA"/>
    <w:rsid w:val="002958FD"/>
    <w:rsid w:val="00295B0A"/>
    <w:rsid w:val="00295DBA"/>
    <w:rsid w:val="00296E64"/>
    <w:rsid w:val="00297077"/>
    <w:rsid w:val="00297C2F"/>
    <w:rsid w:val="002A0128"/>
    <w:rsid w:val="002A1E47"/>
    <w:rsid w:val="002A26FD"/>
    <w:rsid w:val="002A3A3D"/>
    <w:rsid w:val="002A41BD"/>
    <w:rsid w:val="002A5CA4"/>
    <w:rsid w:val="002A626F"/>
    <w:rsid w:val="002A7253"/>
    <w:rsid w:val="002A74D6"/>
    <w:rsid w:val="002A7877"/>
    <w:rsid w:val="002A7C2F"/>
    <w:rsid w:val="002A7F71"/>
    <w:rsid w:val="002B076F"/>
    <w:rsid w:val="002B099E"/>
    <w:rsid w:val="002B515A"/>
    <w:rsid w:val="002B52C6"/>
    <w:rsid w:val="002B57DB"/>
    <w:rsid w:val="002B6746"/>
    <w:rsid w:val="002B6A59"/>
    <w:rsid w:val="002B6BDA"/>
    <w:rsid w:val="002B71B0"/>
    <w:rsid w:val="002C0D28"/>
    <w:rsid w:val="002C1230"/>
    <w:rsid w:val="002C14E2"/>
    <w:rsid w:val="002C300C"/>
    <w:rsid w:val="002C34D7"/>
    <w:rsid w:val="002C46A5"/>
    <w:rsid w:val="002D0AA9"/>
    <w:rsid w:val="002D185B"/>
    <w:rsid w:val="002D233C"/>
    <w:rsid w:val="002D2C23"/>
    <w:rsid w:val="002D2EF7"/>
    <w:rsid w:val="002D488B"/>
    <w:rsid w:val="002D53AF"/>
    <w:rsid w:val="002D5B2B"/>
    <w:rsid w:val="002D6D95"/>
    <w:rsid w:val="002D6FEE"/>
    <w:rsid w:val="002E11B9"/>
    <w:rsid w:val="002E2C90"/>
    <w:rsid w:val="002E2CB4"/>
    <w:rsid w:val="002E315D"/>
    <w:rsid w:val="002E333E"/>
    <w:rsid w:val="002E3CBC"/>
    <w:rsid w:val="002E5EC2"/>
    <w:rsid w:val="002E60AB"/>
    <w:rsid w:val="002F00C5"/>
    <w:rsid w:val="002F07E6"/>
    <w:rsid w:val="002F1C3B"/>
    <w:rsid w:val="002F1DBA"/>
    <w:rsid w:val="002F28D8"/>
    <w:rsid w:val="002F3E13"/>
    <w:rsid w:val="002F47AD"/>
    <w:rsid w:val="002F5790"/>
    <w:rsid w:val="002F6295"/>
    <w:rsid w:val="002F6FEC"/>
    <w:rsid w:val="002F7114"/>
    <w:rsid w:val="0030008B"/>
    <w:rsid w:val="003006CA"/>
    <w:rsid w:val="00300834"/>
    <w:rsid w:val="00303177"/>
    <w:rsid w:val="0030336D"/>
    <w:rsid w:val="00303FBB"/>
    <w:rsid w:val="00304ACA"/>
    <w:rsid w:val="003052A7"/>
    <w:rsid w:val="0030553F"/>
    <w:rsid w:val="003065FD"/>
    <w:rsid w:val="0031062D"/>
    <w:rsid w:val="00310B3E"/>
    <w:rsid w:val="003114E5"/>
    <w:rsid w:val="0031386E"/>
    <w:rsid w:val="00313945"/>
    <w:rsid w:val="00313DC6"/>
    <w:rsid w:val="00313E28"/>
    <w:rsid w:val="00314E63"/>
    <w:rsid w:val="003155DC"/>
    <w:rsid w:val="00315B85"/>
    <w:rsid w:val="00315E2B"/>
    <w:rsid w:val="00315EF0"/>
    <w:rsid w:val="003164CC"/>
    <w:rsid w:val="00316644"/>
    <w:rsid w:val="00316AD7"/>
    <w:rsid w:val="00317FB1"/>
    <w:rsid w:val="0032098B"/>
    <w:rsid w:val="003214AE"/>
    <w:rsid w:val="003217E5"/>
    <w:rsid w:val="003233CB"/>
    <w:rsid w:val="00323455"/>
    <w:rsid w:val="003237AF"/>
    <w:rsid w:val="00324DCD"/>
    <w:rsid w:val="00324E9C"/>
    <w:rsid w:val="003250F2"/>
    <w:rsid w:val="003254A4"/>
    <w:rsid w:val="00326441"/>
    <w:rsid w:val="003264AA"/>
    <w:rsid w:val="0032775A"/>
    <w:rsid w:val="0033129D"/>
    <w:rsid w:val="00331346"/>
    <w:rsid w:val="003324E2"/>
    <w:rsid w:val="003337C9"/>
    <w:rsid w:val="00333B88"/>
    <w:rsid w:val="00333C11"/>
    <w:rsid w:val="00333EDD"/>
    <w:rsid w:val="0033544D"/>
    <w:rsid w:val="00335F27"/>
    <w:rsid w:val="00336575"/>
    <w:rsid w:val="00337211"/>
    <w:rsid w:val="00337623"/>
    <w:rsid w:val="003406B4"/>
    <w:rsid w:val="00340B30"/>
    <w:rsid w:val="00341E56"/>
    <w:rsid w:val="00342041"/>
    <w:rsid w:val="0034227B"/>
    <w:rsid w:val="0034437D"/>
    <w:rsid w:val="0034484F"/>
    <w:rsid w:val="00345DEA"/>
    <w:rsid w:val="0034733A"/>
    <w:rsid w:val="003476A1"/>
    <w:rsid w:val="003514CD"/>
    <w:rsid w:val="003516EF"/>
    <w:rsid w:val="00353783"/>
    <w:rsid w:val="00353805"/>
    <w:rsid w:val="00354667"/>
    <w:rsid w:val="00354A45"/>
    <w:rsid w:val="00354C75"/>
    <w:rsid w:val="003552C8"/>
    <w:rsid w:val="0035530A"/>
    <w:rsid w:val="00355B93"/>
    <w:rsid w:val="003575BA"/>
    <w:rsid w:val="0036020B"/>
    <w:rsid w:val="00360211"/>
    <w:rsid w:val="00361538"/>
    <w:rsid w:val="00361D72"/>
    <w:rsid w:val="00362D53"/>
    <w:rsid w:val="00362DB7"/>
    <w:rsid w:val="00363312"/>
    <w:rsid w:val="003636D3"/>
    <w:rsid w:val="00363F8E"/>
    <w:rsid w:val="00364359"/>
    <w:rsid w:val="00364A48"/>
    <w:rsid w:val="00364A9A"/>
    <w:rsid w:val="003658BA"/>
    <w:rsid w:val="00367444"/>
    <w:rsid w:val="00367C76"/>
    <w:rsid w:val="00367F5B"/>
    <w:rsid w:val="00371D40"/>
    <w:rsid w:val="0037239C"/>
    <w:rsid w:val="003738D9"/>
    <w:rsid w:val="00373942"/>
    <w:rsid w:val="00373992"/>
    <w:rsid w:val="003739C4"/>
    <w:rsid w:val="00373FE3"/>
    <w:rsid w:val="003752DA"/>
    <w:rsid w:val="0037634A"/>
    <w:rsid w:val="00376778"/>
    <w:rsid w:val="00376CA1"/>
    <w:rsid w:val="003773A4"/>
    <w:rsid w:val="00377D5D"/>
    <w:rsid w:val="00377FBE"/>
    <w:rsid w:val="00380384"/>
    <w:rsid w:val="0038169D"/>
    <w:rsid w:val="00381784"/>
    <w:rsid w:val="003818F6"/>
    <w:rsid w:val="00381CB6"/>
    <w:rsid w:val="00382687"/>
    <w:rsid w:val="00382EC9"/>
    <w:rsid w:val="0038352B"/>
    <w:rsid w:val="003839EA"/>
    <w:rsid w:val="00383F58"/>
    <w:rsid w:val="0038584A"/>
    <w:rsid w:val="0038644A"/>
    <w:rsid w:val="003877AE"/>
    <w:rsid w:val="00390378"/>
    <w:rsid w:val="00390D43"/>
    <w:rsid w:val="00391AA1"/>
    <w:rsid w:val="00392B69"/>
    <w:rsid w:val="00392E06"/>
    <w:rsid w:val="00393923"/>
    <w:rsid w:val="0039435D"/>
    <w:rsid w:val="0039448A"/>
    <w:rsid w:val="0039464E"/>
    <w:rsid w:val="003947B1"/>
    <w:rsid w:val="003948F7"/>
    <w:rsid w:val="00394CB0"/>
    <w:rsid w:val="0039593B"/>
    <w:rsid w:val="00395E02"/>
    <w:rsid w:val="003961BF"/>
    <w:rsid w:val="00396217"/>
    <w:rsid w:val="003965FC"/>
    <w:rsid w:val="00396A44"/>
    <w:rsid w:val="00397FC6"/>
    <w:rsid w:val="003A02F8"/>
    <w:rsid w:val="003A052A"/>
    <w:rsid w:val="003A0B0B"/>
    <w:rsid w:val="003A111E"/>
    <w:rsid w:val="003A15A9"/>
    <w:rsid w:val="003A1683"/>
    <w:rsid w:val="003A4806"/>
    <w:rsid w:val="003A5945"/>
    <w:rsid w:val="003A5E49"/>
    <w:rsid w:val="003A68D3"/>
    <w:rsid w:val="003A730C"/>
    <w:rsid w:val="003B0031"/>
    <w:rsid w:val="003B0AC6"/>
    <w:rsid w:val="003B1BC3"/>
    <w:rsid w:val="003B1E14"/>
    <w:rsid w:val="003B33FB"/>
    <w:rsid w:val="003B486C"/>
    <w:rsid w:val="003B4F37"/>
    <w:rsid w:val="003B5474"/>
    <w:rsid w:val="003B55C8"/>
    <w:rsid w:val="003B5992"/>
    <w:rsid w:val="003B6195"/>
    <w:rsid w:val="003B7848"/>
    <w:rsid w:val="003B784F"/>
    <w:rsid w:val="003C0353"/>
    <w:rsid w:val="003C13C6"/>
    <w:rsid w:val="003C1E94"/>
    <w:rsid w:val="003C27F4"/>
    <w:rsid w:val="003C2C5D"/>
    <w:rsid w:val="003C32F0"/>
    <w:rsid w:val="003C4421"/>
    <w:rsid w:val="003C53D6"/>
    <w:rsid w:val="003C5A7F"/>
    <w:rsid w:val="003C5BAF"/>
    <w:rsid w:val="003C5D96"/>
    <w:rsid w:val="003C5ED0"/>
    <w:rsid w:val="003C69F2"/>
    <w:rsid w:val="003C73BB"/>
    <w:rsid w:val="003C748B"/>
    <w:rsid w:val="003D1649"/>
    <w:rsid w:val="003D3265"/>
    <w:rsid w:val="003D3E2E"/>
    <w:rsid w:val="003D44EF"/>
    <w:rsid w:val="003D60A0"/>
    <w:rsid w:val="003D79CD"/>
    <w:rsid w:val="003E06F9"/>
    <w:rsid w:val="003E079D"/>
    <w:rsid w:val="003E0FEE"/>
    <w:rsid w:val="003E1282"/>
    <w:rsid w:val="003E1753"/>
    <w:rsid w:val="003E2779"/>
    <w:rsid w:val="003E2A06"/>
    <w:rsid w:val="003E625E"/>
    <w:rsid w:val="003E633B"/>
    <w:rsid w:val="003E64CD"/>
    <w:rsid w:val="003E697E"/>
    <w:rsid w:val="003E6A7B"/>
    <w:rsid w:val="003E7264"/>
    <w:rsid w:val="003E75EC"/>
    <w:rsid w:val="003F02E9"/>
    <w:rsid w:val="003F0727"/>
    <w:rsid w:val="003F0876"/>
    <w:rsid w:val="003F0A78"/>
    <w:rsid w:val="003F1546"/>
    <w:rsid w:val="003F1A3F"/>
    <w:rsid w:val="003F1BDB"/>
    <w:rsid w:val="003F3471"/>
    <w:rsid w:val="003F48AA"/>
    <w:rsid w:val="003F4981"/>
    <w:rsid w:val="003F4D6D"/>
    <w:rsid w:val="003F4E14"/>
    <w:rsid w:val="003F540A"/>
    <w:rsid w:val="003F59FA"/>
    <w:rsid w:val="003F5D7B"/>
    <w:rsid w:val="003F680E"/>
    <w:rsid w:val="003F7398"/>
    <w:rsid w:val="003F7931"/>
    <w:rsid w:val="00401F93"/>
    <w:rsid w:val="00402D9D"/>
    <w:rsid w:val="0040329D"/>
    <w:rsid w:val="004038E2"/>
    <w:rsid w:val="0040391C"/>
    <w:rsid w:val="00404B4A"/>
    <w:rsid w:val="004058C6"/>
    <w:rsid w:val="0040633D"/>
    <w:rsid w:val="00407604"/>
    <w:rsid w:val="00407CD6"/>
    <w:rsid w:val="004102F3"/>
    <w:rsid w:val="004107E6"/>
    <w:rsid w:val="004114F7"/>
    <w:rsid w:val="00412CD1"/>
    <w:rsid w:val="00413160"/>
    <w:rsid w:val="00413E61"/>
    <w:rsid w:val="004153EE"/>
    <w:rsid w:val="0041674B"/>
    <w:rsid w:val="00420853"/>
    <w:rsid w:val="00420884"/>
    <w:rsid w:val="004211BE"/>
    <w:rsid w:val="00421653"/>
    <w:rsid w:val="00421E04"/>
    <w:rsid w:val="00423018"/>
    <w:rsid w:val="004239D8"/>
    <w:rsid w:val="004240D5"/>
    <w:rsid w:val="00424A72"/>
    <w:rsid w:val="00424D6E"/>
    <w:rsid w:val="00425110"/>
    <w:rsid w:val="00425252"/>
    <w:rsid w:val="004254DF"/>
    <w:rsid w:val="00425939"/>
    <w:rsid w:val="00427387"/>
    <w:rsid w:val="004300DC"/>
    <w:rsid w:val="00430452"/>
    <w:rsid w:val="00430C46"/>
    <w:rsid w:val="00431387"/>
    <w:rsid w:val="00431DF0"/>
    <w:rsid w:val="00432D00"/>
    <w:rsid w:val="00433006"/>
    <w:rsid w:val="00433489"/>
    <w:rsid w:val="004351C1"/>
    <w:rsid w:val="00435EE6"/>
    <w:rsid w:val="00436233"/>
    <w:rsid w:val="00436AEE"/>
    <w:rsid w:val="00437386"/>
    <w:rsid w:val="00440468"/>
    <w:rsid w:val="00440593"/>
    <w:rsid w:val="00440D1D"/>
    <w:rsid w:val="00440E60"/>
    <w:rsid w:val="00442902"/>
    <w:rsid w:val="00442C0D"/>
    <w:rsid w:val="004430A5"/>
    <w:rsid w:val="004431FA"/>
    <w:rsid w:val="00444E6D"/>
    <w:rsid w:val="00445622"/>
    <w:rsid w:val="004457E9"/>
    <w:rsid w:val="00446C47"/>
    <w:rsid w:val="00446FE5"/>
    <w:rsid w:val="0044702F"/>
    <w:rsid w:val="004471CE"/>
    <w:rsid w:val="00450C48"/>
    <w:rsid w:val="00452E54"/>
    <w:rsid w:val="004530DE"/>
    <w:rsid w:val="004531A4"/>
    <w:rsid w:val="0045322C"/>
    <w:rsid w:val="0045336D"/>
    <w:rsid w:val="00453A81"/>
    <w:rsid w:val="00453E90"/>
    <w:rsid w:val="00454D22"/>
    <w:rsid w:val="004552CE"/>
    <w:rsid w:val="00455E7A"/>
    <w:rsid w:val="00456447"/>
    <w:rsid w:val="004569FA"/>
    <w:rsid w:val="00456BA9"/>
    <w:rsid w:val="00456E98"/>
    <w:rsid w:val="00457BF4"/>
    <w:rsid w:val="00461C28"/>
    <w:rsid w:val="004624A3"/>
    <w:rsid w:val="0046528B"/>
    <w:rsid w:val="00466545"/>
    <w:rsid w:val="004665E7"/>
    <w:rsid w:val="0046666D"/>
    <w:rsid w:val="00467A29"/>
    <w:rsid w:val="00467CD6"/>
    <w:rsid w:val="0047045C"/>
    <w:rsid w:val="00470D36"/>
    <w:rsid w:val="0047128F"/>
    <w:rsid w:val="00471375"/>
    <w:rsid w:val="00472D72"/>
    <w:rsid w:val="00473867"/>
    <w:rsid w:val="00473944"/>
    <w:rsid w:val="00474060"/>
    <w:rsid w:val="00474BDC"/>
    <w:rsid w:val="00474D44"/>
    <w:rsid w:val="00474F44"/>
    <w:rsid w:val="00475C77"/>
    <w:rsid w:val="00475EF9"/>
    <w:rsid w:val="0047692C"/>
    <w:rsid w:val="00477672"/>
    <w:rsid w:val="00477932"/>
    <w:rsid w:val="004800A8"/>
    <w:rsid w:val="0048015F"/>
    <w:rsid w:val="004804F5"/>
    <w:rsid w:val="00481D44"/>
    <w:rsid w:val="00481F84"/>
    <w:rsid w:val="00482DA7"/>
    <w:rsid w:val="00484F59"/>
    <w:rsid w:val="00485376"/>
    <w:rsid w:val="0048570F"/>
    <w:rsid w:val="00485F12"/>
    <w:rsid w:val="00485FF9"/>
    <w:rsid w:val="00486540"/>
    <w:rsid w:val="00487090"/>
    <w:rsid w:val="00491688"/>
    <w:rsid w:val="004926C4"/>
    <w:rsid w:val="0049325B"/>
    <w:rsid w:val="00493A37"/>
    <w:rsid w:val="00493DB1"/>
    <w:rsid w:val="0049581A"/>
    <w:rsid w:val="00495910"/>
    <w:rsid w:val="00495E0F"/>
    <w:rsid w:val="00497061"/>
    <w:rsid w:val="00497D37"/>
    <w:rsid w:val="004A0A28"/>
    <w:rsid w:val="004A1B2D"/>
    <w:rsid w:val="004A21AE"/>
    <w:rsid w:val="004A2422"/>
    <w:rsid w:val="004A2F45"/>
    <w:rsid w:val="004A360E"/>
    <w:rsid w:val="004A3E6E"/>
    <w:rsid w:val="004A43B9"/>
    <w:rsid w:val="004A4659"/>
    <w:rsid w:val="004A4968"/>
    <w:rsid w:val="004A5660"/>
    <w:rsid w:val="004A574A"/>
    <w:rsid w:val="004A5A2F"/>
    <w:rsid w:val="004A73B7"/>
    <w:rsid w:val="004A76A5"/>
    <w:rsid w:val="004B02A2"/>
    <w:rsid w:val="004B0763"/>
    <w:rsid w:val="004B17B4"/>
    <w:rsid w:val="004B1DAE"/>
    <w:rsid w:val="004B216D"/>
    <w:rsid w:val="004B2890"/>
    <w:rsid w:val="004B2E59"/>
    <w:rsid w:val="004B37FF"/>
    <w:rsid w:val="004B386B"/>
    <w:rsid w:val="004B38E1"/>
    <w:rsid w:val="004B3FBF"/>
    <w:rsid w:val="004B44D1"/>
    <w:rsid w:val="004B461B"/>
    <w:rsid w:val="004B4C03"/>
    <w:rsid w:val="004B4C96"/>
    <w:rsid w:val="004C0799"/>
    <w:rsid w:val="004C1AC1"/>
    <w:rsid w:val="004C1B4D"/>
    <w:rsid w:val="004C2115"/>
    <w:rsid w:val="004C25AA"/>
    <w:rsid w:val="004C38C2"/>
    <w:rsid w:val="004C407C"/>
    <w:rsid w:val="004C4315"/>
    <w:rsid w:val="004C437A"/>
    <w:rsid w:val="004C48A5"/>
    <w:rsid w:val="004C5D06"/>
    <w:rsid w:val="004C61B3"/>
    <w:rsid w:val="004C657C"/>
    <w:rsid w:val="004C78B6"/>
    <w:rsid w:val="004C7E39"/>
    <w:rsid w:val="004D026D"/>
    <w:rsid w:val="004D108A"/>
    <w:rsid w:val="004D159C"/>
    <w:rsid w:val="004D1EEB"/>
    <w:rsid w:val="004D3B3E"/>
    <w:rsid w:val="004D4638"/>
    <w:rsid w:val="004D4790"/>
    <w:rsid w:val="004D54C6"/>
    <w:rsid w:val="004D5B92"/>
    <w:rsid w:val="004D61AA"/>
    <w:rsid w:val="004D6791"/>
    <w:rsid w:val="004D67FB"/>
    <w:rsid w:val="004D7291"/>
    <w:rsid w:val="004D7CAE"/>
    <w:rsid w:val="004D7CE2"/>
    <w:rsid w:val="004E01FF"/>
    <w:rsid w:val="004E03B4"/>
    <w:rsid w:val="004E0480"/>
    <w:rsid w:val="004E5728"/>
    <w:rsid w:val="004E577A"/>
    <w:rsid w:val="004E6011"/>
    <w:rsid w:val="004E6F5F"/>
    <w:rsid w:val="004E7FD8"/>
    <w:rsid w:val="004F040F"/>
    <w:rsid w:val="004F120F"/>
    <w:rsid w:val="004F17BB"/>
    <w:rsid w:val="004F3084"/>
    <w:rsid w:val="004F5111"/>
    <w:rsid w:val="004F6F75"/>
    <w:rsid w:val="004F7196"/>
    <w:rsid w:val="004F7C41"/>
    <w:rsid w:val="00501D97"/>
    <w:rsid w:val="00501E42"/>
    <w:rsid w:val="0050367A"/>
    <w:rsid w:val="00503993"/>
    <w:rsid w:val="00503CA4"/>
    <w:rsid w:val="00503F9D"/>
    <w:rsid w:val="00507091"/>
    <w:rsid w:val="0050732F"/>
    <w:rsid w:val="005074C4"/>
    <w:rsid w:val="005079CC"/>
    <w:rsid w:val="005109A0"/>
    <w:rsid w:val="0051171D"/>
    <w:rsid w:val="00513430"/>
    <w:rsid w:val="0051362C"/>
    <w:rsid w:val="00514799"/>
    <w:rsid w:val="00514BFF"/>
    <w:rsid w:val="00514ED9"/>
    <w:rsid w:val="005159F4"/>
    <w:rsid w:val="00515B5F"/>
    <w:rsid w:val="00515DAE"/>
    <w:rsid w:val="00516EBF"/>
    <w:rsid w:val="0051746B"/>
    <w:rsid w:val="00520036"/>
    <w:rsid w:val="0052049D"/>
    <w:rsid w:val="005227F5"/>
    <w:rsid w:val="00522E93"/>
    <w:rsid w:val="0052348B"/>
    <w:rsid w:val="00525F89"/>
    <w:rsid w:val="00526058"/>
    <w:rsid w:val="00526519"/>
    <w:rsid w:val="00526A64"/>
    <w:rsid w:val="00526BC4"/>
    <w:rsid w:val="00526FD1"/>
    <w:rsid w:val="00527339"/>
    <w:rsid w:val="00527FA8"/>
    <w:rsid w:val="0053211B"/>
    <w:rsid w:val="00533D10"/>
    <w:rsid w:val="00533D37"/>
    <w:rsid w:val="00533DE6"/>
    <w:rsid w:val="00533E42"/>
    <w:rsid w:val="005344B5"/>
    <w:rsid w:val="00534C3C"/>
    <w:rsid w:val="00534DF6"/>
    <w:rsid w:val="00535E8C"/>
    <w:rsid w:val="00536041"/>
    <w:rsid w:val="00537507"/>
    <w:rsid w:val="00537B18"/>
    <w:rsid w:val="00537F42"/>
    <w:rsid w:val="00537F4D"/>
    <w:rsid w:val="00540B66"/>
    <w:rsid w:val="00540BAC"/>
    <w:rsid w:val="00541207"/>
    <w:rsid w:val="0054137A"/>
    <w:rsid w:val="00541F4E"/>
    <w:rsid w:val="00541FFA"/>
    <w:rsid w:val="005425B5"/>
    <w:rsid w:val="005434F9"/>
    <w:rsid w:val="0054367D"/>
    <w:rsid w:val="0054388E"/>
    <w:rsid w:val="00543F6E"/>
    <w:rsid w:val="00545114"/>
    <w:rsid w:val="00546E99"/>
    <w:rsid w:val="005501BF"/>
    <w:rsid w:val="00550FF8"/>
    <w:rsid w:val="0055125A"/>
    <w:rsid w:val="005515A9"/>
    <w:rsid w:val="00551640"/>
    <w:rsid w:val="0055167A"/>
    <w:rsid w:val="00552449"/>
    <w:rsid w:val="00553AF5"/>
    <w:rsid w:val="00555F2F"/>
    <w:rsid w:val="00556926"/>
    <w:rsid w:val="00556CAB"/>
    <w:rsid w:val="00560B86"/>
    <w:rsid w:val="00562A7C"/>
    <w:rsid w:val="00564BBD"/>
    <w:rsid w:val="005678F0"/>
    <w:rsid w:val="00567B39"/>
    <w:rsid w:val="0057205B"/>
    <w:rsid w:val="0057298C"/>
    <w:rsid w:val="00573BE8"/>
    <w:rsid w:val="005741C4"/>
    <w:rsid w:val="005742D7"/>
    <w:rsid w:val="005742E0"/>
    <w:rsid w:val="005744E6"/>
    <w:rsid w:val="005745B8"/>
    <w:rsid w:val="00574D57"/>
    <w:rsid w:val="005750FD"/>
    <w:rsid w:val="00575276"/>
    <w:rsid w:val="005762F5"/>
    <w:rsid w:val="00576688"/>
    <w:rsid w:val="00576ADB"/>
    <w:rsid w:val="00576F91"/>
    <w:rsid w:val="005808CD"/>
    <w:rsid w:val="00581B33"/>
    <w:rsid w:val="00581EBB"/>
    <w:rsid w:val="00582077"/>
    <w:rsid w:val="00582473"/>
    <w:rsid w:val="00582610"/>
    <w:rsid w:val="00582759"/>
    <w:rsid w:val="00583441"/>
    <w:rsid w:val="005837AB"/>
    <w:rsid w:val="0058443F"/>
    <w:rsid w:val="0058463D"/>
    <w:rsid w:val="005849C2"/>
    <w:rsid w:val="00585232"/>
    <w:rsid w:val="00586684"/>
    <w:rsid w:val="00587E75"/>
    <w:rsid w:val="005903CC"/>
    <w:rsid w:val="00590DDD"/>
    <w:rsid w:val="00590E08"/>
    <w:rsid w:val="0059155C"/>
    <w:rsid w:val="005916A7"/>
    <w:rsid w:val="00592363"/>
    <w:rsid w:val="00592741"/>
    <w:rsid w:val="005932D3"/>
    <w:rsid w:val="0059368B"/>
    <w:rsid w:val="00593CB2"/>
    <w:rsid w:val="00594308"/>
    <w:rsid w:val="00594841"/>
    <w:rsid w:val="00594AAF"/>
    <w:rsid w:val="00595B38"/>
    <w:rsid w:val="00597F38"/>
    <w:rsid w:val="005A1CF9"/>
    <w:rsid w:val="005A1D16"/>
    <w:rsid w:val="005A1F16"/>
    <w:rsid w:val="005A243A"/>
    <w:rsid w:val="005A2BF4"/>
    <w:rsid w:val="005A2F20"/>
    <w:rsid w:val="005A490C"/>
    <w:rsid w:val="005A4C2A"/>
    <w:rsid w:val="005A5633"/>
    <w:rsid w:val="005A56C3"/>
    <w:rsid w:val="005A5BF9"/>
    <w:rsid w:val="005A71B5"/>
    <w:rsid w:val="005A73AC"/>
    <w:rsid w:val="005B2ADD"/>
    <w:rsid w:val="005B2AE8"/>
    <w:rsid w:val="005B334E"/>
    <w:rsid w:val="005B33D7"/>
    <w:rsid w:val="005B3F28"/>
    <w:rsid w:val="005B52B3"/>
    <w:rsid w:val="005B5915"/>
    <w:rsid w:val="005B5C71"/>
    <w:rsid w:val="005B68F9"/>
    <w:rsid w:val="005B7B5F"/>
    <w:rsid w:val="005C105E"/>
    <w:rsid w:val="005C1174"/>
    <w:rsid w:val="005C14AD"/>
    <w:rsid w:val="005C1871"/>
    <w:rsid w:val="005C1FE0"/>
    <w:rsid w:val="005C21D8"/>
    <w:rsid w:val="005C3014"/>
    <w:rsid w:val="005C3143"/>
    <w:rsid w:val="005C38FB"/>
    <w:rsid w:val="005C4035"/>
    <w:rsid w:val="005C6CB0"/>
    <w:rsid w:val="005C6FFB"/>
    <w:rsid w:val="005C70AD"/>
    <w:rsid w:val="005C7D83"/>
    <w:rsid w:val="005C7DD5"/>
    <w:rsid w:val="005D079E"/>
    <w:rsid w:val="005D0C6E"/>
    <w:rsid w:val="005D0EB6"/>
    <w:rsid w:val="005D25B5"/>
    <w:rsid w:val="005D2F66"/>
    <w:rsid w:val="005D37AB"/>
    <w:rsid w:val="005D3C4F"/>
    <w:rsid w:val="005D46FD"/>
    <w:rsid w:val="005D4FA1"/>
    <w:rsid w:val="005D545E"/>
    <w:rsid w:val="005D547F"/>
    <w:rsid w:val="005D5C66"/>
    <w:rsid w:val="005D6AE1"/>
    <w:rsid w:val="005D7BC7"/>
    <w:rsid w:val="005E0296"/>
    <w:rsid w:val="005E10B4"/>
    <w:rsid w:val="005E2034"/>
    <w:rsid w:val="005E44CC"/>
    <w:rsid w:val="005E46DF"/>
    <w:rsid w:val="005E48CC"/>
    <w:rsid w:val="005E5060"/>
    <w:rsid w:val="005E52D7"/>
    <w:rsid w:val="005E58B6"/>
    <w:rsid w:val="005E630D"/>
    <w:rsid w:val="005F0409"/>
    <w:rsid w:val="005F19A0"/>
    <w:rsid w:val="005F1FBE"/>
    <w:rsid w:val="005F4463"/>
    <w:rsid w:val="005F4E6B"/>
    <w:rsid w:val="005F508E"/>
    <w:rsid w:val="005F514C"/>
    <w:rsid w:val="005F5530"/>
    <w:rsid w:val="005F5BAD"/>
    <w:rsid w:val="005F5F43"/>
    <w:rsid w:val="005F72CF"/>
    <w:rsid w:val="005F7EE3"/>
    <w:rsid w:val="00600C24"/>
    <w:rsid w:val="00600CDE"/>
    <w:rsid w:val="0060297E"/>
    <w:rsid w:val="00603253"/>
    <w:rsid w:val="00603893"/>
    <w:rsid w:val="00604004"/>
    <w:rsid w:val="006047B9"/>
    <w:rsid w:val="00605580"/>
    <w:rsid w:val="00605798"/>
    <w:rsid w:val="00607327"/>
    <w:rsid w:val="00607385"/>
    <w:rsid w:val="0060746E"/>
    <w:rsid w:val="006078B5"/>
    <w:rsid w:val="006118BE"/>
    <w:rsid w:val="00611FFA"/>
    <w:rsid w:val="00612085"/>
    <w:rsid w:val="006133E4"/>
    <w:rsid w:val="0061436C"/>
    <w:rsid w:val="00615A3A"/>
    <w:rsid w:val="00615A8C"/>
    <w:rsid w:val="00615B5C"/>
    <w:rsid w:val="00615CB1"/>
    <w:rsid w:val="00615D77"/>
    <w:rsid w:val="00615D88"/>
    <w:rsid w:val="00615FF5"/>
    <w:rsid w:val="00616241"/>
    <w:rsid w:val="00616AB6"/>
    <w:rsid w:val="00616F0A"/>
    <w:rsid w:val="00617268"/>
    <w:rsid w:val="00617606"/>
    <w:rsid w:val="006178E4"/>
    <w:rsid w:val="00620B19"/>
    <w:rsid w:val="00621018"/>
    <w:rsid w:val="006215B3"/>
    <w:rsid w:val="0062196D"/>
    <w:rsid w:val="0062307E"/>
    <w:rsid w:val="00623124"/>
    <w:rsid w:val="006232EC"/>
    <w:rsid w:val="00623D52"/>
    <w:rsid w:val="006250CA"/>
    <w:rsid w:val="006255CB"/>
    <w:rsid w:val="00626F3C"/>
    <w:rsid w:val="00627509"/>
    <w:rsid w:val="00630E9A"/>
    <w:rsid w:val="00631C9C"/>
    <w:rsid w:val="00632EAC"/>
    <w:rsid w:val="0063477E"/>
    <w:rsid w:val="006355F1"/>
    <w:rsid w:val="00642A52"/>
    <w:rsid w:val="00642A83"/>
    <w:rsid w:val="00643083"/>
    <w:rsid w:val="006458B7"/>
    <w:rsid w:val="00645E63"/>
    <w:rsid w:val="00647880"/>
    <w:rsid w:val="00647C6C"/>
    <w:rsid w:val="0065003C"/>
    <w:rsid w:val="00650161"/>
    <w:rsid w:val="006501ED"/>
    <w:rsid w:val="006515BC"/>
    <w:rsid w:val="00651A61"/>
    <w:rsid w:val="0065212D"/>
    <w:rsid w:val="0065236F"/>
    <w:rsid w:val="00653A11"/>
    <w:rsid w:val="00653A14"/>
    <w:rsid w:val="00653BCF"/>
    <w:rsid w:val="006540E6"/>
    <w:rsid w:val="006571F1"/>
    <w:rsid w:val="00657590"/>
    <w:rsid w:val="00657ECF"/>
    <w:rsid w:val="00657F0C"/>
    <w:rsid w:val="00660ECE"/>
    <w:rsid w:val="006610EE"/>
    <w:rsid w:val="00662FB7"/>
    <w:rsid w:val="006634B8"/>
    <w:rsid w:val="0066385E"/>
    <w:rsid w:val="00664270"/>
    <w:rsid w:val="006663DD"/>
    <w:rsid w:val="006676C8"/>
    <w:rsid w:val="006678AE"/>
    <w:rsid w:val="00670F1B"/>
    <w:rsid w:val="006710BE"/>
    <w:rsid w:val="0067123B"/>
    <w:rsid w:val="00672143"/>
    <w:rsid w:val="00673BF4"/>
    <w:rsid w:val="00675513"/>
    <w:rsid w:val="00676CF0"/>
    <w:rsid w:val="006774BF"/>
    <w:rsid w:val="0068019C"/>
    <w:rsid w:val="00680617"/>
    <w:rsid w:val="00680FE3"/>
    <w:rsid w:val="006811C4"/>
    <w:rsid w:val="00681373"/>
    <w:rsid w:val="0068173F"/>
    <w:rsid w:val="006826A1"/>
    <w:rsid w:val="006826B6"/>
    <w:rsid w:val="006827E2"/>
    <w:rsid w:val="006827FF"/>
    <w:rsid w:val="00683595"/>
    <w:rsid w:val="00684B10"/>
    <w:rsid w:val="00685100"/>
    <w:rsid w:val="0068748A"/>
    <w:rsid w:val="00690293"/>
    <w:rsid w:val="00690437"/>
    <w:rsid w:val="0069071A"/>
    <w:rsid w:val="006918CE"/>
    <w:rsid w:val="0069233F"/>
    <w:rsid w:val="00692348"/>
    <w:rsid w:val="00692566"/>
    <w:rsid w:val="006946CB"/>
    <w:rsid w:val="00694BC6"/>
    <w:rsid w:val="00696206"/>
    <w:rsid w:val="00696E55"/>
    <w:rsid w:val="00697B5F"/>
    <w:rsid w:val="00697D35"/>
    <w:rsid w:val="006A0925"/>
    <w:rsid w:val="006A25EB"/>
    <w:rsid w:val="006A2B88"/>
    <w:rsid w:val="006A2D38"/>
    <w:rsid w:val="006A3341"/>
    <w:rsid w:val="006A6D40"/>
    <w:rsid w:val="006A6FAD"/>
    <w:rsid w:val="006B0FF7"/>
    <w:rsid w:val="006B1826"/>
    <w:rsid w:val="006B347E"/>
    <w:rsid w:val="006B4275"/>
    <w:rsid w:val="006B4308"/>
    <w:rsid w:val="006B43E1"/>
    <w:rsid w:val="006B5110"/>
    <w:rsid w:val="006B5607"/>
    <w:rsid w:val="006B57BB"/>
    <w:rsid w:val="006B5A69"/>
    <w:rsid w:val="006B6EFB"/>
    <w:rsid w:val="006B7556"/>
    <w:rsid w:val="006C0965"/>
    <w:rsid w:val="006C130F"/>
    <w:rsid w:val="006C292A"/>
    <w:rsid w:val="006C2CEB"/>
    <w:rsid w:val="006C4072"/>
    <w:rsid w:val="006C4640"/>
    <w:rsid w:val="006D01E1"/>
    <w:rsid w:val="006D0769"/>
    <w:rsid w:val="006D1219"/>
    <w:rsid w:val="006D17F0"/>
    <w:rsid w:val="006D1893"/>
    <w:rsid w:val="006D206D"/>
    <w:rsid w:val="006D2ED0"/>
    <w:rsid w:val="006D3D85"/>
    <w:rsid w:val="006D4EA2"/>
    <w:rsid w:val="006D60A8"/>
    <w:rsid w:val="006D6D52"/>
    <w:rsid w:val="006D6F16"/>
    <w:rsid w:val="006D716D"/>
    <w:rsid w:val="006D75D9"/>
    <w:rsid w:val="006D7619"/>
    <w:rsid w:val="006D7ECA"/>
    <w:rsid w:val="006E02D0"/>
    <w:rsid w:val="006E0A5B"/>
    <w:rsid w:val="006E0E66"/>
    <w:rsid w:val="006E10AC"/>
    <w:rsid w:val="006E174C"/>
    <w:rsid w:val="006E1827"/>
    <w:rsid w:val="006E1EC6"/>
    <w:rsid w:val="006E2EDD"/>
    <w:rsid w:val="006E51A2"/>
    <w:rsid w:val="006E5428"/>
    <w:rsid w:val="006E6A76"/>
    <w:rsid w:val="006F0DDF"/>
    <w:rsid w:val="006F15E8"/>
    <w:rsid w:val="006F199F"/>
    <w:rsid w:val="006F204A"/>
    <w:rsid w:val="006F34CD"/>
    <w:rsid w:val="006F4BD2"/>
    <w:rsid w:val="006F4D8E"/>
    <w:rsid w:val="006F5824"/>
    <w:rsid w:val="006F5B56"/>
    <w:rsid w:val="006F5FAE"/>
    <w:rsid w:val="006F6EF9"/>
    <w:rsid w:val="006F79E1"/>
    <w:rsid w:val="006F7BCF"/>
    <w:rsid w:val="007000B9"/>
    <w:rsid w:val="00700BC3"/>
    <w:rsid w:val="0070274F"/>
    <w:rsid w:val="00704032"/>
    <w:rsid w:val="00705B9C"/>
    <w:rsid w:val="00706011"/>
    <w:rsid w:val="00707155"/>
    <w:rsid w:val="00707D33"/>
    <w:rsid w:val="007105CF"/>
    <w:rsid w:val="0071081E"/>
    <w:rsid w:val="007110E6"/>
    <w:rsid w:val="00711976"/>
    <w:rsid w:val="007122A6"/>
    <w:rsid w:val="007130BE"/>
    <w:rsid w:val="00713D88"/>
    <w:rsid w:val="00714030"/>
    <w:rsid w:val="00714BB8"/>
    <w:rsid w:val="00714DB1"/>
    <w:rsid w:val="00715018"/>
    <w:rsid w:val="007155D3"/>
    <w:rsid w:val="0071712B"/>
    <w:rsid w:val="007177ED"/>
    <w:rsid w:val="0071798B"/>
    <w:rsid w:val="0072161A"/>
    <w:rsid w:val="0072162A"/>
    <w:rsid w:val="0072166D"/>
    <w:rsid w:val="007217AF"/>
    <w:rsid w:val="00721B2F"/>
    <w:rsid w:val="007228B7"/>
    <w:rsid w:val="00723550"/>
    <w:rsid w:val="007238F8"/>
    <w:rsid w:val="00724190"/>
    <w:rsid w:val="007250C5"/>
    <w:rsid w:val="00725549"/>
    <w:rsid w:val="00726537"/>
    <w:rsid w:val="007316B8"/>
    <w:rsid w:val="007326FC"/>
    <w:rsid w:val="00732A86"/>
    <w:rsid w:val="00732B5B"/>
    <w:rsid w:val="00732EEB"/>
    <w:rsid w:val="00733543"/>
    <w:rsid w:val="0073458F"/>
    <w:rsid w:val="00735463"/>
    <w:rsid w:val="00735675"/>
    <w:rsid w:val="00737D6A"/>
    <w:rsid w:val="00737DC9"/>
    <w:rsid w:val="00737F4D"/>
    <w:rsid w:val="00740B38"/>
    <w:rsid w:val="00741B82"/>
    <w:rsid w:val="00741F20"/>
    <w:rsid w:val="00742CA2"/>
    <w:rsid w:val="007441D2"/>
    <w:rsid w:val="00744B2E"/>
    <w:rsid w:val="00746D48"/>
    <w:rsid w:val="0074762D"/>
    <w:rsid w:val="00750E72"/>
    <w:rsid w:val="0075316C"/>
    <w:rsid w:val="00753A41"/>
    <w:rsid w:val="00753E6F"/>
    <w:rsid w:val="00755AD7"/>
    <w:rsid w:val="007564BA"/>
    <w:rsid w:val="00756864"/>
    <w:rsid w:val="00760CE8"/>
    <w:rsid w:val="0076116D"/>
    <w:rsid w:val="00761697"/>
    <w:rsid w:val="007625EC"/>
    <w:rsid w:val="00763EB4"/>
    <w:rsid w:val="007658A6"/>
    <w:rsid w:val="0076606C"/>
    <w:rsid w:val="00766BA8"/>
    <w:rsid w:val="00771F90"/>
    <w:rsid w:val="0077429E"/>
    <w:rsid w:val="00774904"/>
    <w:rsid w:val="00775996"/>
    <w:rsid w:val="007760C6"/>
    <w:rsid w:val="0077678F"/>
    <w:rsid w:val="0077688F"/>
    <w:rsid w:val="00776D43"/>
    <w:rsid w:val="00776FB7"/>
    <w:rsid w:val="00777922"/>
    <w:rsid w:val="00777E8A"/>
    <w:rsid w:val="00780248"/>
    <w:rsid w:val="0078028C"/>
    <w:rsid w:val="00781967"/>
    <w:rsid w:val="00782EDA"/>
    <w:rsid w:val="00782F72"/>
    <w:rsid w:val="0078358F"/>
    <w:rsid w:val="007838B9"/>
    <w:rsid w:val="007843C4"/>
    <w:rsid w:val="007851CF"/>
    <w:rsid w:val="00785802"/>
    <w:rsid w:val="007858E7"/>
    <w:rsid w:val="007873CE"/>
    <w:rsid w:val="007874F1"/>
    <w:rsid w:val="007901FD"/>
    <w:rsid w:val="007902B1"/>
    <w:rsid w:val="00791179"/>
    <w:rsid w:val="0079133C"/>
    <w:rsid w:val="00791704"/>
    <w:rsid w:val="00791981"/>
    <w:rsid w:val="00792B38"/>
    <w:rsid w:val="00793519"/>
    <w:rsid w:val="00793A5C"/>
    <w:rsid w:val="00793B36"/>
    <w:rsid w:val="00794412"/>
    <w:rsid w:val="00794D86"/>
    <w:rsid w:val="007973AE"/>
    <w:rsid w:val="00797420"/>
    <w:rsid w:val="00797B10"/>
    <w:rsid w:val="007A1749"/>
    <w:rsid w:val="007A2D74"/>
    <w:rsid w:val="007A324D"/>
    <w:rsid w:val="007A3DB5"/>
    <w:rsid w:val="007A3FD4"/>
    <w:rsid w:val="007A4CB6"/>
    <w:rsid w:val="007A7CB4"/>
    <w:rsid w:val="007B299C"/>
    <w:rsid w:val="007B2A97"/>
    <w:rsid w:val="007B3B82"/>
    <w:rsid w:val="007B3ED7"/>
    <w:rsid w:val="007B49B4"/>
    <w:rsid w:val="007B562A"/>
    <w:rsid w:val="007B5CB4"/>
    <w:rsid w:val="007B6146"/>
    <w:rsid w:val="007C0DCF"/>
    <w:rsid w:val="007C1E90"/>
    <w:rsid w:val="007C1FEB"/>
    <w:rsid w:val="007C25EB"/>
    <w:rsid w:val="007C428D"/>
    <w:rsid w:val="007C4726"/>
    <w:rsid w:val="007C52CB"/>
    <w:rsid w:val="007C5842"/>
    <w:rsid w:val="007C5C82"/>
    <w:rsid w:val="007C6231"/>
    <w:rsid w:val="007C7CD0"/>
    <w:rsid w:val="007D07DD"/>
    <w:rsid w:val="007D2815"/>
    <w:rsid w:val="007D301B"/>
    <w:rsid w:val="007D3572"/>
    <w:rsid w:val="007D3B92"/>
    <w:rsid w:val="007D4A63"/>
    <w:rsid w:val="007D7678"/>
    <w:rsid w:val="007D7A62"/>
    <w:rsid w:val="007D7C73"/>
    <w:rsid w:val="007E0005"/>
    <w:rsid w:val="007E04A5"/>
    <w:rsid w:val="007E04EB"/>
    <w:rsid w:val="007E0B4A"/>
    <w:rsid w:val="007E1D9C"/>
    <w:rsid w:val="007E2ADC"/>
    <w:rsid w:val="007E38F4"/>
    <w:rsid w:val="007E42C7"/>
    <w:rsid w:val="007E4304"/>
    <w:rsid w:val="007E4883"/>
    <w:rsid w:val="007E4E83"/>
    <w:rsid w:val="007E547F"/>
    <w:rsid w:val="007E57D0"/>
    <w:rsid w:val="007E63F4"/>
    <w:rsid w:val="007E7FB0"/>
    <w:rsid w:val="007F16A2"/>
    <w:rsid w:val="007F3467"/>
    <w:rsid w:val="007F400E"/>
    <w:rsid w:val="007F4F19"/>
    <w:rsid w:val="007F6A04"/>
    <w:rsid w:val="007F75CB"/>
    <w:rsid w:val="007F76E5"/>
    <w:rsid w:val="00801B6B"/>
    <w:rsid w:val="00802A3E"/>
    <w:rsid w:val="00802B57"/>
    <w:rsid w:val="0080308A"/>
    <w:rsid w:val="00803108"/>
    <w:rsid w:val="00804239"/>
    <w:rsid w:val="0080482F"/>
    <w:rsid w:val="00806712"/>
    <w:rsid w:val="00806F56"/>
    <w:rsid w:val="008070DA"/>
    <w:rsid w:val="00807372"/>
    <w:rsid w:val="00807B70"/>
    <w:rsid w:val="0081007A"/>
    <w:rsid w:val="00810661"/>
    <w:rsid w:val="00810DCC"/>
    <w:rsid w:val="00810FF3"/>
    <w:rsid w:val="00812A05"/>
    <w:rsid w:val="00812B7C"/>
    <w:rsid w:val="0081357E"/>
    <w:rsid w:val="00814444"/>
    <w:rsid w:val="00814AD0"/>
    <w:rsid w:val="00814EE4"/>
    <w:rsid w:val="00815694"/>
    <w:rsid w:val="00815D8C"/>
    <w:rsid w:val="008166DC"/>
    <w:rsid w:val="008171B9"/>
    <w:rsid w:val="00822B88"/>
    <w:rsid w:val="00824242"/>
    <w:rsid w:val="008243D4"/>
    <w:rsid w:val="00824F0F"/>
    <w:rsid w:val="00824F61"/>
    <w:rsid w:val="0082519B"/>
    <w:rsid w:val="0082540F"/>
    <w:rsid w:val="00825973"/>
    <w:rsid w:val="008266A5"/>
    <w:rsid w:val="00827C35"/>
    <w:rsid w:val="00830131"/>
    <w:rsid w:val="00830BDE"/>
    <w:rsid w:val="00830CF2"/>
    <w:rsid w:val="00831200"/>
    <w:rsid w:val="00831893"/>
    <w:rsid w:val="00832381"/>
    <w:rsid w:val="00833946"/>
    <w:rsid w:val="00833EE5"/>
    <w:rsid w:val="00833F5E"/>
    <w:rsid w:val="00834B89"/>
    <w:rsid w:val="00834ED1"/>
    <w:rsid w:val="00835C34"/>
    <w:rsid w:val="00835CD4"/>
    <w:rsid w:val="0083669C"/>
    <w:rsid w:val="00836CDB"/>
    <w:rsid w:val="008371F9"/>
    <w:rsid w:val="00837E33"/>
    <w:rsid w:val="00840022"/>
    <w:rsid w:val="00842067"/>
    <w:rsid w:val="00842ABE"/>
    <w:rsid w:val="00842B09"/>
    <w:rsid w:val="0084354B"/>
    <w:rsid w:val="00843705"/>
    <w:rsid w:val="008446DE"/>
    <w:rsid w:val="00845257"/>
    <w:rsid w:val="0084602F"/>
    <w:rsid w:val="00847775"/>
    <w:rsid w:val="0085153B"/>
    <w:rsid w:val="00852694"/>
    <w:rsid w:val="00852FCA"/>
    <w:rsid w:val="00854627"/>
    <w:rsid w:val="00856328"/>
    <w:rsid w:val="008569F6"/>
    <w:rsid w:val="00860184"/>
    <w:rsid w:val="00860D8F"/>
    <w:rsid w:val="00860ECC"/>
    <w:rsid w:val="00861A20"/>
    <w:rsid w:val="00861ED9"/>
    <w:rsid w:val="0086401C"/>
    <w:rsid w:val="008640F9"/>
    <w:rsid w:val="00864E80"/>
    <w:rsid w:val="008658A6"/>
    <w:rsid w:val="00865ABE"/>
    <w:rsid w:val="00866E62"/>
    <w:rsid w:val="008677FE"/>
    <w:rsid w:val="008717F4"/>
    <w:rsid w:val="00872047"/>
    <w:rsid w:val="0087249F"/>
    <w:rsid w:val="00872B4C"/>
    <w:rsid w:val="00873BC4"/>
    <w:rsid w:val="00875365"/>
    <w:rsid w:val="0087541D"/>
    <w:rsid w:val="00875669"/>
    <w:rsid w:val="00875748"/>
    <w:rsid w:val="008765FC"/>
    <w:rsid w:val="00877054"/>
    <w:rsid w:val="00877486"/>
    <w:rsid w:val="0087758D"/>
    <w:rsid w:val="00877BC4"/>
    <w:rsid w:val="008804F8"/>
    <w:rsid w:val="00880A9E"/>
    <w:rsid w:val="00880E71"/>
    <w:rsid w:val="00881099"/>
    <w:rsid w:val="00881485"/>
    <w:rsid w:val="00881CA6"/>
    <w:rsid w:val="00882145"/>
    <w:rsid w:val="008822B4"/>
    <w:rsid w:val="008835D0"/>
    <w:rsid w:val="00884784"/>
    <w:rsid w:val="00884FE0"/>
    <w:rsid w:val="00887121"/>
    <w:rsid w:val="00887696"/>
    <w:rsid w:val="008876A1"/>
    <w:rsid w:val="008903AE"/>
    <w:rsid w:val="00891393"/>
    <w:rsid w:val="00892057"/>
    <w:rsid w:val="00892EF8"/>
    <w:rsid w:val="00893197"/>
    <w:rsid w:val="008939B8"/>
    <w:rsid w:val="00895A0D"/>
    <w:rsid w:val="00895E5D"/>
    <w:rsid w:val="00896431"/>
    <w:rsid w:val="008971AD"/>
    <w:rsid w:val="008A026C"/>
    <w:rsid w:val="008A19BC"/>
    <w:rsid w:val="008A3312"/>
    <w:rsid w:val="008A35C1"/>
    <w:rsid w:val="008A3C6F"/>
    <w:rsid w:val="008A4260"/>
    <w:rsid w:val="008A4B3A"/>
    <w:rsid w:val="008A4D2F"/>
    <w:rsid w:val="008A4DB6"/>
    <w:rsid w:val="008A4E83"/>
    <w:rsid w:val="008A60FF"/>
    <w:rsid w:val="008A6641"/>
    <w:rsid w:val="008A7736"/>
    <w:rsid w:val="008B14A7"/>
    <w:rsid w:val="008B2920"/>
    <w:rsid w:val="008B494B"/>
    <w:rsid w:val="008B6030"/>
    <w:rsid w:val="008B7B78"/>
    <w:rsid w:val="008C0AE4"/>
    <w:rsid w:val="008C0C9B"/>
    <w:rsid w:val="008C19BA"/>
    <w:rsid w:val="008C1DD1"/>
    <w:rsid w:val="008C4D0C"/>
    <w:rsid w:val="008C552C"/>
    <w:rsid w:val="008C5D63"/>
    <w:rsid w:val="008C5EDC"/>
    <w:rsid w:val="008C7A40"/>
    <w:rsid w:val="008D0B9E"/>
    <w:rsid w:val="008D10DB"/>
    <w:rsid w:val="008D324A"/>
    <w:rsid w:val="008D4485"/>
    <w:rsid w:val="008D5A50"/>
    <w:rsid w:val="008D5BAB"/>
    <w:rsid w:val="008D6EDB"/>
    <w:rsid w:val="008E0448"/>
    <w:rsid w:val="008E0543"/>
    <w:rsid w:val="008E0B0D"/>
    <w:rsid w:val="008E1091"/>
    <w:rsid w:val="008E158C"/>
    <w:rsid w:val="008E1CBB"/>
    <w:rsid w:val="008E1EB9"/>
    <w:rsid w:val="008E31D9"/>
    <w:rsid w:val="008E686B"/>
    <w:rsid w:val="008E71DB"/>
    <w:rsid w:val="008E7EB4"/>
    <w:rsid w:val="008F0288"/>
    <w:rsid w:val="008F092A"/>
    <w:rsid w:val="008F1455"/>
    <w:rsid w:val="008F2B67"/>
    <w:rsid w:val="008F301F"/>
    <w:rsid w:val="008F3F16"/>
    <w:rsid w:val="008F55A4"/>
    <w:rsid w:val="008F6617"/>
    <w:rsid w:val="008F6B64"/>
    <w:rsid w:val="008F7117"/>
    <w:rsid w:val="008F757F"/>
    <w:rsid w:val="0090095B"/>
    <w:rsid w:val="00901A1C"/>
    <w:rsid w:val="0090279F"/>
    <w:rsid w:val="00902F8A"/>
    <w:rsid w:val="00903703"/>
    <w:rsid w:val="009038A9"/>
    <w:rsid w:val="00904908"/>
    <w:rsid w:val="00904CC2"/>
    <w:rsid w:val="00905017"/>
    <w:rsid w:val="009057ED"/>
    <w:rsid w:val="0090674E"/>
    <w:rsid w:val="0090788C"/>
    <w:rsid w:val="009078A9"/>
    <w:rsid w:val="00907CE5"/>
    <w:rsid w:val="009103AF"/>
    <w:rsid w:val="00910575"/>
    <w:rsid w:val="00910AA5"/>
    <w:rsid w:val="00910DF1"/>
    <w:rsid w:val="009112F8"/>
    <w:rsid w:val="0091365E"/>
    <w:rsid w:val="00914597"/>
    <w:rsid w:val="00915590"/>
    <w:rsid w:val="009170D7"/>
    <w:rsid w:val="00917BD8"/>
    <w:rsid w:val="0092003A"/>
    <w:rsid w:val="009203D6"/>
    <w:rsid w:val="009212AC"/>
    <w:rsid w:val="00921C98"/>
    <w:rsid w:val="00923FCA"/>
    <w:rsid w:val="0092403F"/>
    <w:rsid w:val="0092441A"/>
    <w:rsid w:val="009250DB"/>
    <w:rsid w:val="0092530C"/>
    <w:rsid w:val="00926B0E"/>
    <w:rsid w:val="00931C27"/>
    <w:rsid w:val="00931E59"/>
    <w:rsid w:val="009322F2"/>
    <w:rsid w:val="00933A1A"/>
    <w:rsid w:val="00933BB5"/>
    <w:rsid w:val="0093464A"/>
    <w:rsid w:val="0093503E"/>
    <w:rsid w:val="0093725F"/>
    <w:rsid w:val="00937E33"/>
    <w:rsid w:val="00940717"/>
    <w:rsid w:val="00940E9C"/>
    <w:rsid w:val="009412C6"/>
    <w:rsid w:val="009446EA"/>
    <w:rsid w:val="00944801"/>
    <w:rsid w:val="009457CD"/>
    <w:rsid w:val="00947445"/>
    <w:rsid w:val="00947DBC"/>
    <w:rsid w:val="009502CE"/>
    <w:rsid w:val="0095220B"/>
    <w:rsid w:val="00952316"/>
    <w:rsid w:val="00952B7C"/>
    <w:rsid w:val="00954215"/>
    <w:rsid w:val="00954A84"/>
    <w:rsid w:val="00955006"/>
    <w:rsid w:val="00955710"/>
    <w:rsid w:val="0095574E"/>
    <w:rsid w:val="009564A8"/>
    <w:rsid w:val="009566D2"/>
    <w:rsid w:val="00961446"/>
    <w:rsid w:val="00961E57"/>
    <w:rsid w:val="0096225A"/>
    <w:rsid w:val="00963AD4"/>
    <w:rsid w:val="00963BBC"/>
    <w:rsid w:val="0096489F"/>
    <w:rsid w:val="00964A24"/>
    <w:rsid w:val="0096518C"/>
    <w:rsid w:val="009664D7"/>
    <w:rsid w:val="009670A3"/>
    <w:rsid w:val="00967223"/>
    <w:rsid w:val="00967881"/>
    <w:rsid w:val="00967D6D"/>
    <w:rsid w:val="0097238D"/>
    <w:rsid w:val="00972D70"/>
    <w:rsid w:val="0097429C"/>
    <w:rsid w:val="00974595"/>
    <w:rsid w:val="0097506E"/>
    <w:rsid w:val="00975CC7"/>
    <w:rsid w:val="00976874"/>
    <w:rsid w:val="00976F41"/>
    <w:rsid w:val="00977683"/>
    <w:rsid w:val="00977E64"/>
    <w:rsid w:val="009801E9"/>
    <w:rsid w:val="00980278"/>
    <w:rsid w:val="0098068D"/>
    <w:rsid w:val="0098191E"/>
    <w:rsid w:val="009824CA"/>
    <w:rsid w:val="00982C2D"/>
    <w:rsid w:val="009836D0"/>
    <w:rsid w:val="00983E39"/>
    <w:rsid w:val="00984483"/>
    <w:rsid w:val="00984CC4"/>
    <w:rsid w:val="0098598C"/>
    <w:rsid w:val="00985B18"/>
    <w:rsid w:val="009866AE"/>
    <w:rsid w:val="00986810"/>
    <w:rsid w:val="00986A71"/>
    <w:rsid w:val="00986FF8"/>
    <w:rsid w:val="00987209"/>
    <w:rsid w:val="00990DD9"/>
    <w:rsid w:val="00991371"/>
    <w:rsid w:val="009916AD"/>
    <w:rsid w:val="00992B58"/>
    <w:rsid w:val="00992D1F"/>
    <w:rsid w:val="009931F7"/>
    <w:rsid w:val="009934B8"/>
    <w:rsid w:val="00993AA0"/>
    <w:rsid w:val="00993DE4"/>
    <w:rsid w:val="009942BE"/>
    <w:rsid w:val="00995128"/>
    <w:rsid w:val="0099527E"/>
    <w:rsid w:val="009956FF"/>
    <w:rsid w:val="00996D01"/>
    <w:rsid w:val="00996D1C"/>
    <w:rsid w:val="0099708A"/>
    <w:rsid w:val="009A067C"/>
    <w:rsid w:val="009A20C6"/>
    <w:rsid w:val="009A3CE1"/>
    <w:rsid w:val="009A4121"/>
    <w:rsid w:val="009A546A"/>
    <w:rsid w:val="009A54DF"/>
    <w:rsid w:val="009B06B3"/>
    <w:rsid w:val="009B245D"/>
    <w:rsid w:val="009B2FA4"/>
    <w:rsid w:val="009B40B4"/>
    <w:rsid w:val="009B4445"/>
    <w:rsid w:val="009B4837"/>
    <w:rsid w:val="009B5F3F"/>
    <w:rsid w:val="009B6BC2"/>
    <w:rsid w:val="009B6F16"/>
    <w:rsid w:val="009B7332"/>
    <w:rsid w:val="009B73EC"/>
    <w:rsid w:val="009B78C4"/>
    <w:rsid w:val="009B7F8D"/>
    <w:rsid w:val="009C09A4"/>
    <w:rsid w:val="009C0B23"/>
    <w:rsid w:val="009C1573"/>
    <w:rsid w:val="009C181D"/>
    <w:rsid w:val="009C2DD9"/>
    <w:rsid w:val="009C3A0D"/>
    <w:rsid w:val="009C43E2"/>
    <w:rsid w:val="009C614B"/>
    <w:rsid w:val="009C69FD"/>
    <w:rsid w:val="009C6B5D"/>
    <w:rsid w:val="009C6B7F"/>
    <w:rsid w:val="009C7129"/>
    <w:rsid w:val="009D0202"/>
    <w:rsid w:val="009D0769"/>
    <w:rsid w:val="009D0F6C"/>
    <w:rsid w:val="009D1438"/>
    <w:rsid w:val="009D15E4"/>
    <w:rsid w:val="009D17C2"/>
    <w:rsid w:val="009D26AB"/>
    <w:rsid w:val="009D2ED2"/>
    <w:rsid w:val="009D45C5"/>
    <w:rsid w:val="009D5CF7"/>
    <w:rsid w:val="009E2872"/>
    <w:rsid w:val="009E3BC9"/>
    <w:rsid w:val="009E4A14"/>
    <w:rsid w:val="009E5704"/>
    <w:rsid w:val="009E5DDF"/>
    <w:rsid w:val="009E73FC"/>
    <w:rsid w:val="009F0D5B"/>
    <w:rsid w:val="009F1A2B"/>
    <w:rsid w:val="009F1D5B"/>
    <w:rsid w:val="009F307D"/>
    <w:rsid w:val="009F34AE"/>
    <w:rsid w:val="009F376B"/>
    <w:rsid w:val="009F3A16"/>
    <w:rsid w:val="009F3BEC"/>
    <w:rsid w:val="009F451D"/>
    <w:rsid w:val="009F5B4F"/>
    <w:rsid w:val="009F7946"/>
    <w:rsid w:val="00A02D0F"/>
    <w:rsid w:val="00A02F5B"/>
    <w:rsid w:val="00A04D90"/>
    <w:rsid w:val="00A04FCB"/>
    <w:rsid w:val="00A065B7"/>
    <w:rsid w:val="00A0774C"/>
    <w:rsid w:val="00A07B42"/>
    <w:rsid w:val="00A109F3"/>
    <w:rsid w:val="00A10A94"/>
    <w:rsid w:val="00A10BE8"/>
    <w:rsid w:val="00A11BF8"/>
    <w:rsid w:val="00A12A90"/>
    <w:rsid w:val="00A14BD6"/>
    <w:rsid w:val="00A1530B"/>
    <w:rsid w:val="00A16523"/>
    <w:rsid w:val="00A16D73"/>
    <w:rsid w:val="00A17773"/>
    <w:rsid w:val="00A17983"/>
    <w:rsid w:val="00A207CA"/>
    <w:rsid w:val="00A21023"/>
    <w:rsid w:val="00A21216"/>
    <w:rsid w:val="00A217DE"/>
    <w:rsid w:val="00A232AC"/>
    <w:rsid w:val="00A243B6"/>
    <w:rsid w:val="00A24514"/>
    <w:rsid w:val="00A24DE2"/>
    <w:rsid w:val="00A252F2"/>
    <w:rsid w:val="00A26BD0"/>
    <w:rsid w:val="00A27237"/>
    <w:rsid w:val="00A273E4"/>
    <w:rsid w:val="00A2781F"/>
    <w:rsid w:val="00A31043"/>
    <w:rsid w:val="00A31E66"/>
    <w:rsid w:val="00A328DA"/>
    <w:rsid w:val="00A3314C"/>
    <w:rsid w:val="00A33E35"/>
    <w:rsid w:val="00A33E4A"/>
    <w:rsid w:val="00A357F2"/>
    <w:rsid w:val="00A35FE5"/>
    <w:rsid w:val="00A368E9"/>
    <w:rsid w:val="00A371FA"/>
    <w:rsid w:val="00A374C8"/>
    <w:rsid w:val="00A37A66"/>
    <w:rsid w:val="00A40AD6"/>
    <w:rsid w:val="00A417CA"/>
    <w:rsid w:val="00A41899"/>
    <w:rsid w:val="00A4353D"/>
    <w:rsid w:val="00A43BA2"/>
    <w:rsid w:val="00A4626E"/>
    <w:rsid w:val="00A471C4"/>
    <w:rsid w:val="00A47A1D"/>
    <w:rsid w:val="00A47A54"/>
    <w:rsid w:val="00A50E31"/>
    <w:rsid w:val="00A51FC5"/>
    <w:rsid w:val="00A51FFF"/>
    <w:rsid w:val="00A526F2"/>
    <w:rsid w:val="00A53506"/>
    <w:rsid w:val="00A54966"/>
    <w:rsid w:val="00A54D83"/>
    <w:rsid w:val="00A558F7"/>
    <w:rsid w:val="00A568DD"/>
    <w:rsid w:val="00A5697C"/>
    <w:rsid w:val="00A60656"/>
    <w:rsid w:val="00A60EBA"/>
    <w:rsid w:val="00A61895"/>
    <w:rsid w:val="00A61B07"/>
    <w:rsid w:val="00A6241F"/>
    <w:rsid w:val="00A63CDC"/>
    <w:rsid w:val="00A63D53"/>
    <w:rsid w:val="00A6611E"/>
    <w:rsid w:val="00A67623"/>
    <w:rsid w:val="00A6793B"/>
    <w:rsid w:val="00A70256"/>
    <w:rsid w:val="00A70599"/>
    <w:rsid w:val="00A70B48"/>
    <w:rsid w:val="00A70D7D"/>
    <w:rsid w:val="00A7142C"/>
    <w:rsid w:val="00A72042"/>
    <w:rsid w:val="00A72270"/>
    <w:rsid w:val="00A725D8"/>
    <w:rsid w:val="00A7299D"/>
    <w:rsid w:val="00A72A12"/>
    <w:rsid w:val="00A72EF1"/>
    <w:rsid w:val="00A73098"/>
    <w:rsid w:val="00A730DD"/>
    <w:rsid w:val="00A73317"/>
    <w:rsid w:val="00A734CC"/>
    <w:rsid w:val="00A741C2"/>
    <w:rsid w:val="00A7437D"/>
    <w:rsid w:val="00A74895"/>
    <w:rsid w:val="00A75202"/>
    <w:rsid w:val="00A75B62"/>
    <w:rsid w:val="00A75FC4"/>
    <w:rsid w:val="00A778BB"/>
    <w:rsid w:val="00A81B80"/>
    <w:rsid w:val="00A81B88"/>
    <w:rsid w:val="00A82F0B"/>
    <w:rsid w:val="00A83127"/>
    <w:rsid w:val="00A8350B"/>
    <w:rsid w:val="00A846F3"/>
    <w:rsid w:val="00A84E99"/>
    <w:rsid w:val="00A86177"/>
    <w:rsid w:val="00A865BC"/>
    <w:rsid w:val="00A87939"/>
    <w:rsid w:val="00A90936"/>
    <w:rsid w:val="00A9156E"/>
    <w:rsid w:val="00A930E9"/>
    <w:rsid w:val="00A93931"/>
    <w:rsid w:val="00A94104"/>
    <w:rsid w:val="00A9458A"/>
    <w:rsid w:val="00A94892"/>
    <w:rsid w:val="00A951DB"/>
    <w:rsid w:val="00A9571F"/>
    <w:rsid w:val="00A958D6"/>
    <w:rsid w:val="00A95AEF"/>
    <w:rsid w:val="00A961B6"/>
    <w:rsid w:val="00A96360"/>
    <w:rsid w:val="00A96ED7"/>
    <w:rsid w:val="00A9778A"/>
    <w:rsid w:val="00A97967"/>
    <w:rsid w:val="00AA0307"/>
    <w:rsid w:val="00AA10C3"/>
    <w:rsid w:val="00AA1349"/>
    <w:rsid w:val="00AA18C6"/>
    <w:rsid w:val="00AA26F6"/>
    <w:rsid w:val="00AA293F"/>
    <w:rsid w:val="00AA2C7D"/>
    <w:rsid w:val="00AA3FC0"/>
    <w:rsid w:val="00AA3FC3"/>
    <w:rsid w:val="00AA431D"/>
    <w:rsid w:val="00AA5FE6"/>
    <w:rsid w:val="00AA6734"/>
    <w:rsid w:val="00AA729C"/>
    <w:rsid w:val="00AB0DF0"/>
    <w:rsid w:val="00AB1DAE"/>
    <w:rsid w:val="00AB217A"/>
    <w:rsid w:val="00AB2514"/>
    <w:rsid w:val="00AB265D"/>
    <w:rsid w:val="00AB2CAA"/>
    <w:rsid w:val="00AB2ECE"/>
    <w:rsid w:val="00AB3957"/>
    <w:rsid w:val="00AB3B17"/>
    <w:rsid w:val="00AB3F75"/>
    <w:rsid w:val="00AB3F96"/>
    <w:rsid w:val="00AB465B"/>
    <w:rsid w:val="00AB4C9E"/>
    <w:rsid w:val="00AB4EF1"/>
    <w:rsid w:val="00AB51AA"/>
    <w:rsid w:val="00AB6015"/>
    <w:rsid w:val="00AB63F6"/>
    <w:rsid w:val="00AB6A6C"/>
    <w:rsid w:val="00AB6DF8"/>
    <w:rsid w:val="00AB6ED7"/>
    <w:rsid w:val="00AB6FEF"/>
    <w:rsid w:val="00AB76F7"/>
    <w:rsid w:val="00AC2ABA"/>
    <w:rsid w:val="00AC4104"/>
    <w:rsid w:val="00AC4144"/>
    <w:rsid w:val="00AC4C7A"/>
    <w:rsid w:val="00AC4ED7"/>
    <w:rsid w:val="00AC524C"/>
    <w:rsid w:val="00AC59E2"/>
    <w:rsid w:val="00AC5B25"/>
    <w:rsid w:val="00AC5F5B"/>
    <w:rsid w:val="00AC6235"/>
    <w:rsid w:val="00AC7214"/>
    <w:rsid w:val="00AD058B"/>
    <w:rsid w:val="00AD0FDB"/>
    <w:rsid w:val="00AD18E5"/>
    <w:rsid w:val="00AD3DB5"/>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5EB"/>
    <w:rsid w:val="00AF0E2B"/>
    <w:rsid w:val="00AF12B7"/>
    <w:rsid w:val="00AF1310"/>
    <w:rsid w:val="00AF1F04"/>
    <w:rsid w:val="00AF2653"/>
    <w:rsid w:val="00AF337A"/>
    <w:rsid w:val="00AF3E30"/>
    <w:rsid w:val="00AF47B2"/>
    <w:rsid w:val="00AF5631"/>
    <w:rsid w:val="00AF744F"/>
    <w:rsid w:val="00AF75BE"/>
    <w:rsid w:val="00AF78AE"/>
    <w:rsid w:val="00B009C4"/>
    <w:rsid w:val="00B00B80"/>
    <w:rsid w:val="00B00C96"/>
    <w:rsid w:val="00B01DB5"/>
    <w:rsid w:val="00B03248"/>
    <w:rsid w:val="00B058D3"/>
    <w:rsid w:val="00B07147"/>
    <w:rsid w:val="00B10EBC"/>
    <w:rsid w:val="00B12C3B"/>
    <w:rsid w:val="00B12CB3"/>
    <w:rsid w:val="00B12EE5"/>
    <w:rsid w:val="00B12EF7"/>
    <w:rsid w:val="00B13A98"/>
    <w:rsid w:val="00B14A85"/>
    <w:rsid w:val="00B14B92"/>
    <w:rsid w:val="00B14D91"/>
    <w:rsid w:val="00B155F0"/>
    <w:rsid w:val="00B175BE"/>
    <w:rsid w:val="00B17653"/>
    <w:rsid w:val="00B202C2"/>
    <w:rsid w:val="00B202F1"/>
    <w:rsid w:val="00B205A5"/>
    <w:rsid w:val="00B2075D"/>
    <w:rsid w:val="00B208CA"/>
    <w:rsid w:val="00B20AD6"/>
    <w:rsid w:val="00B2265E"/>
    <w:rsid w:val="00B256C0"/>
    <w:rsid w:val="00B2681C"/>
    <w:rsid w:val="00B26B46"/>
    <w:rsid w:val="00B303C8"/>
    <w:rsid w:val="00B30B94"/>
    <w:rsid w:val="00B325F5"/>
    <w:rsid w:val="00B32D75"/>
    <w:rsid w:val="00B32F88"/>
    <w:rsid w:val="00B33145"/>
    <w:rsid w:val="00B3361F"/>
    <w:rsid w:val="00B339CD"/>
    <w:rsid w:val="00B33FAF"/>
    <w:rsid w:val="00B342AC"/>
    <w:rsid w:val="00B34677"/>
    <w:rsid w:val="00B36DB4"/>
    <w:rsid w:val="00B371EC"/>
    <w:rsid w:val="00B37278"/>
    <w:rsid w:val="00B37648"/>
    <w:rsid w:val="00B37C4E"/>
    <w:rsid w:val="00B402EF"/>
    <w:rsid w:val="00B410F3"/>
    <w:rsid w:val="00B42710"/>
    <w:rsid w:val="00B4397A"/>
    <w:rsid w:val="00B4722A"/>
    <w:rsid w:val="00B51434"/>
    <w:rsid w:val="00B51715"/>
    <w:rsid w:val="00B51895"/>
    <w:rsid w:val="00B5273D"/>
    <w:rsid w:val="00B52CD1"/>
    <w:rsid w:val="00B53B8E"/>
    <w:rsid w:val="00B5666E"/>
    <w:rsid w:val="00B571E8"/>
    <w:rsid w:val="00B57942"/>
    <w:rsid w:val="00B601C4"/>
    <w:rsid w:val="00B608DB"/>
    <w:rsid w:val="00B60F97"/>
    <w:rsid w:val="00B60FD5"/>
    <w:rsid w:val="00B6125D"/>
    <w:rsid w:val="00B61D56"/>
    <w:rsid w:val="00B62156"/>
    <w:rsid w:val="00B6315E"/>
    <w:rsid w:val="00B636BF"/>
    <w:rsid w:val="00B645FD"/>
    <w:rsid w:val="00B64CB1"/>
    <w:rsid w:val="00B656AE"/>
    <w:rsid w:val="00B65AFC"/>
    <w:rsid w:val="00B65B07"/>
    <w:rsid w:val="00B66CC5"/>
    <w:rsid w:val="00B7077E"/>
    <w:rsid w:val="00B70B24"/>
    <w:rsid w:val="00B712A8"/>
    <w:rsid w:val="00B71576"/>
    <w:rsid w:val="00B71CD5"/>
    <w:rsid w:val="00B71D72"/>
    <w:rsid w:val="00B72CCF"/>
    <w:rsid w:val="00B73B13"/>
    <w:rsid w:val="00B73C8D"/>
    <w:rsid w:val="00B7692A"/>
    <w:rsid w:val="00B7737D"/>
    <w:rsid w:val="00B774A4"/>
    <w:rsid w:val="00B800C1"/>
    <w:rsid w:val="00B80FAF"/>
    <w:rsid w:val="00B815A7"/>
    <w:rsid w:val="00B836ED"/>
    <w:rsid w:val="00B848C9"/>
    <w:rsid w:val="00B8507B"/>
    <w:rsid w:val="00B855C2"/>
    <w:rsid w:val="00B85D36"/>
    <w:rsid w:val="00B91211"/>
    <w:rsid w:val="00B93E09"/>
    <w:rsid w:val="00B93E60"/>
    <w:rsid w:val="00B93EE0"/>
    <w:rsid w:val="00B96BFE"/>
    <w:rsid w:val="00BA0940"/>
    <w:rsid w:val="00BA1034"/>
    <w:rsid w:val="00BA2143"/>
    <w:rsid w:val="00BA25A8"/>
    <w:rsid w:val="00BA267A"/>
    <w:rsid w:val="00BA2A53"/>
    <w:rsid w:val="00BA3230"/>
    <w:rsid w:val="00BA3A0E"/>
    <w:rsid w:val="00BA3D0B"/>
    <w:rsid w:val="00BA5A0C"/>
    <w:rsid w:val="00BB01E0"/>
    <w:rsid w:val="00BB0244"/>
    <w:rsid w:val="00BB308A"/>
    <w:rsid w:val="00BB3744"/>
    <w:rsid w:val="00BB3C1A"/>
    <w:rsid w:val="00BB4764"/>
    <w:rsid w:val="00BB4AD3"/>
    <w:rsid w:val="00BB53C4"/>
    <w:rsid w:val="00BB53C9"/>
    <w:rsid w:val="00BB698D"/>
    <w:rsid w:val="00BB69E5"/>
    <w:rsid w:val="00BB6A0E"/>
    <w:rsid w:val="00BB6B48"/>
    <w:rsid w:val="00BC0C41"/>
    <w:rsid w:val="00BC0DC6"/>
    <w:rsid w:val="00BC0E07"/>
    <w:rsid w:val="00BC51E0"/>
    <w:rsid w:val="00BC5ECA"/>
    <w:rsid w:val="00BC6B61"/>
    <w:rsid w:val="00BC744E"/>
    <w:rsid w:val="00BD0932"/>
    <w:rsid w:val="00BD123B"/>
    <w:rsid w:val="00BD1838"/>
    <w:rsid w:val="00BD215F"/>
    <w:rsid w:val="00BD23C5"/>
    <w:rsid w:val="00BD256E"/>
    <w:rsid w:val="00BD27CD"/>
    <w:rsid w:val="00BD33B2"/>
    <w:rsid w:val="00BD4462"/>
    <w:rsid w:val="00BD4CF4"/>
    <w:rsid w:val="00BD5F9C"/>
    <w:rsid w:val="00BD5FDE"/>
    <w:rsid w:val="00BD6787"/>
    <w:rsid w:val="00BD7C66"/>
    <w:rsid w:val="00BD7DAB"/>
    <w:rsid w:val="00BE1A0A"/>
    <w:rsid w:val="00BE25BC"/>
    <w:rsid w:val="00BE3569"/>
    <w:rsid w:val="00BE389E"/>
    <w:rsid w:val="00BE398D"/>
    <w:rsid w:val="00BE3D38"/>
    <w:rsid w:val="00BE447E"/>
    <w:rsid w:val="00BE459B"/>
    <w:rsid w:val="00BE5030"/>
    <w:rsid w:val="00BE6524"/>
    <w:rsid w:val="00BE65BE"/>
    <w:rsid w:val="00BE66B6"/>
    <w:rsid w:val="00BE77AD"/>
    <w:rsid w:val="00BE7E89"/>
    <w:rsid w:val="00BF0782"/>
    <w:rsid w:val="00BF09CE"/>
    <w:rsid w:val="00BF0BE6"/>
    <w:rsid w:val="00BF216C"/>
    <w:rsid w:val="00BF25F2"/>
    <w:rsid w:val="00BF26A0"/>
    <w:rsid w:val="00BF2C7B"/>
    <w:rsid w:val="00BF2D51"/>
    <w:rsid w:val="00BF3410"/>
    <w:rsid w:val="00BF4231"/>
    <w:rsid w:val="00BF45A3"/>
    <w:rsid w:val="00BF5C32"/>
    <w:rsid w:val="00C00D5F"/>
    <w:rsid w:val="00C02C22"/>
    <w:rsid w:val="00C0397A"/>
    <w:rsid w:val="00C0411A"/>
    <w:rsid w:val="00C0469F"/>
    <w:rsid w:val="00C0490E"/>
    <w:rsid w:val="00C04EB8"/>
    <w:rsid w:val="00C0522E"/>
    <w:rsid w:val="00C06B4F"/>
    <w:rsid w:val="00C10261"/>
    <w:rsid w:val="00C10A32"/>
    <w:rsid w:val="00C1271B"/>
    <w:rsid w:val="00C13585"/>
    <w:rsid w:val="00C13880"/>
    <w:rsid w:val="00C17342"/>
    <w:rsid w:val="00C17482"/>
    <w:rsid w:val="00C17D02"/>
    <w:rsid w:val="00C20238"/>
    <w:rsid w:val="00C20467"/>
    <w:rsid w:val="00C20C78"/>
    <w:rsid w:val="00C215D0"/>
    <w:rsid w:val="00C228D9"/>
    <w:rsid w:val="00C232F1"/>
    <w:rsid w:val="00C23C48"/>
    <w:rsid w:val="00C250D3"/>
    <w:rsid w:val="00C2617F"/>
    <w:rsid w:val="00C2725F"/>
    <w:rsid w:val="00C27490"/>
    <w:rsid w:val="00C311DA"/>
    <w:rsid w:val="00C32284"/>
    <w:rsid w:val="00C328DB"/>
    <w:rsid w:val="00C32AC2"/>
    <w:rsid w:val="00C32DF9"/>
    <w:rsid w:val="00C333BD"/>
    <w:rsid w:val="00C33BE7"/>
    <w:rsid w:val="00C3412C"/>
    <w:rsid w:val="00C34812"/>
    <w:rsid w:val="00C359D2"/>
    <w:rsid w:val="00C35C60"/>
    <w:rsid w:val="00C35E53"/>
    <w:rsid w:val="00C421B7"/>
    <w:rsid w:val="00C42ED0"/>
    <w:rsid w:val="00C44D92"/>
    <w:rsid w:val="00C44D97"/>
    <w:rsid w:val="00C45C2A"/>
    <w:rsid w:val="00C464F6"/>
    <w:rsid w:val="00C46602"/>
    <w:rsid w:val="00C46DD4"/>
    <w:rsid w:val="00C46FE3"/>
    <w:rsid w:val="00C476B0"/>
    <w:rsid w:val="00C500C5"/>
    <w:rsid w:val="00C50936"/>
    <w:rsid w:val="00C511B9"/>
    <w:rsid w:val="00C511E0"/>
    <w:rsid w:val="00C51967"/>
    <w:rsid w:val="00C52045"/>
    <w:rsid w:val="00C524F5"/>
    <w:rsid w:val="00C53A87"/>
    <w:rsid w:val="00C543CC"/>
    <w:rsid w:val="00C54940"/>
    <w:rsid w:val="00C54B71"/>
    <w:rsid w:val="00C551A9"/>
    <w:rsid w:val="00C55D49"/>
    <w:rsid w:val="00C56034"/>
    <w:rsid w:val="00C57126"/>
    <w:rsid w:val="00C57800"/>
    <w:rsid w:val="00C57D8A"/>
    <w:rsid w:val="00C57EB0"/>
    <w:rsid w:val="00C6125B"/>
    <w:rsid w:val="00C6193A"/>
    <w:rsid w:val="00C61D4A"/>
    <w:rsid w:val="00C62546"/>
    <w:rsid w:val="00C62BAD"/>
    <w:rsid w:val="00C63085"/>
    <w:rsid w:val="00C63980"/>
    <w:rsid w:val="00C63E32"/>
    <w:rsid w:val="00C641B9"/>
    <w:rsid w:val="00C643E9"/>
    <w:rsid w:val="00C64837"/>
    <w:rsid w:val="00C64FF0"/>
    <w:rsid w:val="00C670E1"/>
    <w:rsid w:val="00C671D7"/>
    <w:rsid w:val="00C6771C"/>
    <w:rsid w:val="00C6776A"/>
    <w:rsid w:val="00C709AD"/>
    <w:rsid w:val="00C70F99"/>
    <w:rsid w:val="00C71F57"/>
    <w:rsid w:val="00C720AF"/>
    <w:rsid w:val="00C73800"/>
    <w:rsid w:val="00C73A02"/>
    <w:rsid w:val="00C73CD0"/>
    <w:rsid w:val="00C74716"/>
    <w:rsid w:val="00C74CAB"/>
    <w:rsid w:val="00C74FE6"/>
    <w:rsid w:val="00C75265"/>
    <w:rsid w:val="00C753CF"/>
    <w:rsid w:val="00C758A1"/>
    <w:rsid w:val="00C75B14"/>
    <w:rsid w:val="00C75CAA"/>
    <w:rsid w:val="00C76383"/>
    <w:rsid w:val="00C76625"/>
    <w:rsid w:val="00C777BC"/>
    <w:rsid w:val="00C80084"/>
    <w:rsid w:val="00C80395"/>
    <w:rsid w:val="00C8049E"/>
    <w:rsid w:val="00C80D42"/>
    <w:rsid w:val="00C81ADA"/>
    <w:rsid w:val="00C824C3"/>
    <w:rsid w:val="00C82545"/>
    <w:rsid w:val="00C82ACB"/>
    <w:rsid w:val="00C82F75"/>
    <w:rsid w:val="00C8357F"/>
    <w:rsid w:val="00C83756"/>
    <w:rsid w:val="00C84604"/>
    <w:rsid w:val="00C852E7"/>
    <w:rsid w:val="00C8628A"/>
    <w:rsid w:val="00C865CD"/>
    <w:rsid w:val="00C865E0"/>
    <w:rsid w:val="00C86E86"/>
    <w:rsid w:val="00C877FD"/>
    <w:rsid w:val="00C87AB9"/>
    <w:rsid w:val="00C87E29"/>
    <w:rsid w:val="00C9223F"/>
    <w:rsid w:val="00C93759"/>
    <w:rsid w:val="00C9424E"/>
    <w:rsid w:val="00C943D1"/>
    <w:rsid w:val="00C9621E"/>
    <w:rsid w:val="00C9641A"/>
    <w:rsid w:val="00CA18DB"/>
    <w:rsid w:val="00CA220D"/>
    <w:rsid w:val="00CA22E2"/>
    <w:rsid w:val="00CA266E"/>
    <w:rsid w:val="00CA326D"/>
    <w:rsid w:val="00CA37ED"/>
    <w:rsid w:val="00CA3C3E"/>
    <w:rsid w:val="00CA51FB"/>
    <w:rsid w:val="00CA56C6"/>
    <w:rsid w:val="00CA66E7"/>
    <w:rsid w:val="00CB0153"/>
    <w:rsid w:val="00CB0560"/>
    <w:rsid w:val="00CB10CA"/>
    <w:rsid w:val="00CB1F70"/>
    <w:rsid w:val="00CB2049"/>
    <w:rsid w:val="00CB2087"/>
    <w:rsid w:val="00CB25C5"/>
    <w:rsid w:val="00CB2C08"/>
    <w:rsid w:val="00CB3F33"/>
    <w:rsid w:val="00CB3FA8"/>
    <w:rsid w:val="00CB414B"/>
    <w:rsid w:val="00CB4BD7"/>
    <w:rsid w:val="00CB4E62"/>
    <w:rsid w:val="00CB7374"/>
    <w:rsid w:val="00CB79AA"/>
    <w:rsid w:val="00CB7DB8"/>
    <w:rsid w:val="00CC109A"/>
    <w:rsid w:val="00CC27A1"/>
    <w:rsid w:val="00CC29CE"/>
    <w:rsid w:val="00CC2EC6"/>
    <w:rsid w:val="00CC423C"/>
    <w:rsid w:val="00CC5DFD"/>
    <w:rsid w:val="00CC6844"/>
    <w:rsid w:val="00CC7C8D"/>
    <w:rsid w:val="00CD13E5"/>
    <w:rsid w:val="00CD1509"/>
    <w:rsid w:val="00CD1BD3"/>
    <w:rsid w:val="00CD21F6"/>
    <w:rsid w:val="00CD3320"/>
    <w:rsid w:val="00CD546E"/>
    <w:rsid w:val="00CD566A"/>
    <w:rsid w:val="00CD66F3"/>
    <w:rsid w:val="00CD6800"/>
    <w:rsid w:val="00CD6D6B"/>
    <w:rsid w:val="00CE0402"/>
    <w:rsid w:val="00CE1480"/>
    <w:rsid w:val="00CE29FE"/>
    <w:rsid w:val="00CE2F84"/>
    <w:rsid w:val="00CE4E0F"/>
    <w:rsid w:val="00CE4F8B"/>
    <w:rsid w:val="00CE566C"/>
    <w:rsid w:val="00CE57F9"/>
    <w:rsid w:val="00CE597D"/>
    <w:rsid w:val="00CE5B61"/>
    <w:rsid w:val="00CE6665"/>
    <w:rsid w:val="00CE7370"/>
    <w:rsid w:val="00CE758E"/>
    <w:rsid w:val="00CE7998"/>
    <w:rsid w:val="00CE7E8B"/>
    <w:rsid w:val="00CE7F60"/>
    <w:rsid w:val="00CE7F74"/>
    <w:rsid w:val="00CF0260"/>
    <w:rsid w:val="00CF03A8"/>
    <w:rsid w:val="00CF0C5D"/>
    <w:rsid w:val="00CF0E59"/>
    <w:rsid w:val="00CF32AB"/>
    <w:rsid w:val="00CF32EE"/>
    <w:rsid w:val="00CF359A"/>
    <w:rsid w:val="00CF36DB"/>
    <w:rsid w:val="00CF3790"/>
    <w:rsid w:val="00CF3B66"/>
    <w:rsid w:val="00CF40C5"/>
    <w:rsid w:val="00CF41DE"/>
    <w:rsid w:val="00CF4D36"/>
    <w:rsid w:val="00CF4F42"/>
    <w:rsid w:val="00CF57C7"/>
    <w:rsid w:val="00CF6AD3"/>
    <w:rsid w:val="00CF7537"/>
    <w:rsid w:val="00CF7976"/>
    <w:rsid w:val="00CF79F0"/>
    <w:rsid w:val="00CF7C58"/>
    <w:rsid w:val="00D01073"/>
    <w:rsid w:val="00D02C0F"/>
    <w:rsid w:val="00D0434F"/>
    <w:rsid w:val="00D05563"/>
    <w:rsid w:val="00D056BA"/>
    <w:rsid w:val="00D05FF7"/>
    <w:rsid w:val="00D076F5"/>
    <w:rsid w:val="00D07B94"/>
    <w:rsid w:val="00D07EC2"/>
    <w:rsid w:val="00D10248"/>
    <w:rsid w:val="00D10778"/>
    <w:rsid w:val="00D10FA1"/>
    <w:rsid w:val="00D11A6D"/>
    <w:rsid w:val="00D12DB9"/>
    <w:rsid w:val="00D13D5C"/>
    <w:rsid w:val="00D147F5"/>
    <w:rsid w:val="00D14849"/>
    <w:rsid w:val="00D14C5D"/>
    <w:rsid w:val="00D154BD"/>
    <w:rsid w:val="00D15929"/>
    <w:rsid w:val="00D1593F"/>
    <w:rsid w:val="00D15A2A"/>
    <w:rsid w:val="00D165FE"/>
    <w:rsid w:val="00D167C2"/>
    <w:rsid w:val="00D16868"/>
    <w:rsid w:val="00D16AD2"/>
    <w:rsid w:val="00D204A7"/>
    <w:rsid w:val="00D20CD3"/>
    <w:rsid w:val="00D21563"/>
    <w:rsid w:val="00D2208F"/>
    <w:rsid w:val="00D22C71"/>
    <w:rsid w:val="00D230A5"/>
    <w:rsid w:val="00D236C4"/>
    <w:rsid w:val="00D23DCA"/>
    <w:rsid w:val="00D24FF5"/>
    <w:rsid w:val="00D25DA1"/>
    <w:rsid w:val="00D26DED"/>
    <w:rsid w:val="00D2719E"/>
    <w:rsid w:val="00D27B3D"/>
    <w:rsid w:val="00D3051E"/>
    <w:rsid w:val="00D30F60"/>
    <w:rsid w:val="00D32097"/>
    <w:rsid w:val="00D32642"/>
    <w:rsid w:val="00D33009"/>
    <w:rsid w:val="00D33089"/>
    <w:rsid w:val="00D33ACD"/>
    <w:rsid w:val="00D348E4"/>
    <w:rsid w:val="00D35223"/>
    <w:rsid w:val="00D3618E"/>
    <w:rsid w:val="00D368D9"/>
    <w:rsid w:val="00D40DAB"/>
    <w:rsid w:val="00D42028"/>
    <w:rsid w:val="00D42BCE"/>
    <w:rsid w:val="00D446B0"/>
    <w:rsid w:val="00D44B7D"/>
    <w:rsid w:val="00D46FA1"/>
    <w:rsid w:val="00D47AEA"/>
    <w:rsid w:val="00D50ADD"/>
    <w:rsid w:val="00D5147E"/>
    <w:rsid w:val="00D51890"/>
    <w:rsid w:val="00D519D8"/>
    <w:rsid w:val="00D51B09"/>
    <w:rsid w:val="00D528B0"/>
    <w:rsid w:val="00D53155"/>
    <w:rsid w:val="00D53BD8"/>
    <w:rsid w:val="00D542CF"/>
    <w:rsid w:val="00D54DB1"/>
    <w:rsid w:val="00D5568B"/>
    <w:rsid w:val="00D55C99"/>
    <w:rsid w:val="00D55CE6"/>
    <w:rsid w:val="00D56839"/>
    <w:rsid w:val="00D56A09"/>
    <w:rsid w:val="00D57C91"/>
    <w:rsid w:val="00D60671"/>
    <w:rsid w:val="00D60E79"/>
    <w:rsid w:val="00D611F3"/>
    <w:rsid w:val="00D61897"/>
    <w:rsid w:val="00D61F26"/>
    <w:rsid w:val="00D63046"/>
    <w:rsid w:val="00D64A10"/>
    <w:rsid w:val="00D64DC8"/>
    <w:rsid w:val="00D65BEE"/>
    <w:rsid w:val="00D65FCF"/>
    <w:rsid w:val="00D66AA4"/>
    <w:rsid w:val="00D670A1"/>
    <w:rsid w:val="00D675D0"/>
    <w:rsid w:val="00D675E8"/>
    <w:rsid w:val="00D701A1"/>
    <w:rsid w:val="00D71185"/>
    <w:rsid w:val="00D7118E"/>
    <w:rsid w:val="00D712EA"/>
    <w:rsid w:val="00D71842"/>
    <w:rsid w:val="00D72E1A"/>
    <w:rsid w:val="00D74EF6"/>
    <w:rsid w:val="00D777E7"/>
    <w:rsid w:val="00D77CF8"/>
    <w:rsid w:val="00D8023F"/>
    <w:rsid w:val="00D84A93"/>
    <w:rsid w:val="00D84E2B"/>
    <w:rsid w:val="00D8542D"/>
    <w:rsid w:val="00D866E9"/>
    <w:rsid w:val="00D86E2A"/>
    <w:rsid w:val="00D87747"/>
    <w:rsid w:val="00D87CA4"/>
    <w:rsid w:val="00D87FAF"/>
    <w:rsid w:val="00D90384"/>
    <w:rsid w:val="00D90602"/>
    <w:rsid w:val="00D90C34"/>
    <w:rsid w:val="00D92E69"/>
    <w:rsid w:val="00D9337F"/>
    <w:rsid w:val="00D93529"/>
    <w:rsid w:val="00D93BE3"/>
    <w:rsid w:val="00D94390"/>
    <w:rsid w:val="00D9542E"/>
    <w:rsid w:val="00D957EA"/>
    <w:rsid w:val="00D958E3"/>
    <w:rsid w:val="00D9622A"/>
    <w:rsid w:val="00D96DB6"/>
    <w:rsid w:val="00D9794F"/>
    <w:rsid w:val="00DA1461"/>
    <w:rsid w:val="00DA14B9"/>
    <w:rsid w:val="00DA19A1"/>
    <w:rsid w:val="00DA3CD0"/>
    <w:rsid w:val="00DA4624"/>
    <w:rsid w:val="00DA4BCA"/>
    <w:rsid w:val="00DA5F81"/>
    <w:rsid w:val="00DA669F"/>
    <w:rsid w:val="00DA711A"/>
    <w:rsid w:val="00DB05AF"/>
    <w:rsid w:val="00DB11AA"/>
    <w:rsid w:val="00DB14D9"/>
    <w:rsid w:val="00DB1AEC"/>
    <w:rsid w:val="00DB20BE"/>
    <w:rsid w:val="00DB3288"/>
    <w:rsid w:val="00DB480A"/>
    <w:rsid w:val="00DC0EC7"/>
    <w:rsid w:val="00DC1896"/>
    <w:rsid w:val="00DC19D1"/>
    <w:rsid w:val="00DC1D4C"/>
    <w:rsid w:val="00DC1ECF"/>
    <w:rsid w:val="00DC3F52"/>
    <w:rsid w:val="00DC4A9D"/>
    <w:rsid w:val="00DC4BF7"/>
    <w:rsid w:val="00DC4EE4"/>
    <w:rsid w:val="00DC50C2"/>
    <w:rsid w:val="00DC5DB3"/>
    <w:rsid w:val="00DC66F7"/>
    <w:rsid w:val="00DD0014"/>
    <w:rsid w:val="00DD0B61"/>
    <w:rsid w:val="00DD1DCF"/>
    <w:rsid w:val="00DD2039"/>
    <w:rsid w:val="00DD2463"/>
    <w:rsid w:val="00DD2ED7"/>
    <w:rsid w:val="00DD356D"/>
    <w:rsid w:val="00DD41C8"/>
    <w:rsid w:val="00DD4536"/>
    <w:rsid w:val="00DD49BA"/>
    <w:rsid w:val="00DD6237"/>
    <w:rsid w:val="00DD63E1"/>
    <w:rsid w:val="00DD67B3"/>
    <w:rsid w:val="00DD7E33"/>
    <w:rsid w:val="00DE0B75"/>
    <w:rsid w:val="00DE135B"/>
    <w:rsid w:val="00DE249D"/>
    <w:rsid w:val="00DE260E"/>
    <w:rsid w:val="00DE31AD"/>
    <w:rsid w:val="00DE31D6"/>
    <w:rsid w:val="00DE5A7D"/>
    <w:rsid w:val="00DE714A"/>
    <w:rsid w:val="00DE7C8E"/>
    <w:rsid w:val="00DF190C"/>
    <w:rsid w:val="00DF1AD6"/>
    <w:rsid w:val="00DF27CE"/>
    <w:rsid w:val="00DF2CB8"/>
    <w:rsid w:val="00DF2DC2"/>
    <w:rsid w:val="00DF3A66"/>
    <w:rsid w:val="00DF3E32"/>
    <w:rsid w:val="00DF4901"/>
    <w:rsid w:val="00DF594C"/>
    <w:rsid w:val="00DF6F94"/>
    <w:rsid w:val="00DF73AC"/>
    <w:rsid w:val="00DF7613"/>
    <w:rsid w:val="00E007C7"/>
    <w:rsid w:val="00E009AC"/>
    <w:rsid w:val="00E00AC9"/>
    <w:rsid w:val="00E01B31"/>
    <w:rsid w:val="00E03273"/>
    <w:rsid w:val="00E04581"/>
    <w:rsid w:val="00E052E0"/>
    <w:rsid w:val="00E063DF"/>
    <w:rsid w:val="00E06816"/>
    <w:rsid w:val="00E075B0"/>
    <w:rsid w:val="00E07845"/>
    <w:rsid w:val="00E07CAF"/>
    <w:rsid w:val="00E10B86"/>
    <w:rsid w:val="00E1190E"/>
    <w:rsid w:val="00E11BD7"/>
    <w:rsid w:val="00E11D4C"/>
    <w:rsid w:val="00E11EBF"/>
    <w:rsid w:val="00E13802"/>
    <w:rsid w:val="00E142A9"/>
    <w:rsid w:val="00E1458E"/>
    <w:rsid w:val="00E1463B"/>
    <w:rsid w:val="00E14AB2"/>
    <w:rsid w:val="00E14E0C"/>
    <w:rsid w:val="00E14E59"/>
    <w:rsid w:val="00E152CF"/>
    <w:rsid w:val="00E158C4"/>
    <w:rsid w:val="00E15AA3"/>
    <w:rsid w:val="00E16123"/>
    <w:rsid w:val="00E1634F"/>
    <w:rsid w:val="00E16DF8"/>
    <w:rsid w:val="00E20EC0"/>
    <w:rsid w:val="00E21190"/>
    <w:rsid w:val="00E21452"/>
    <w:rsid w:val="00E216E5"/>
    <w:rsid w:val="00E21FCC"/>
    <w:rsid w:val="00E226C7"/>
    <w:rsid w:val="00E237D1"/>
    <w:rsid w:val="00E23D67"/>
    <w:rsid w:val="00E2410B"/>
    <w:rsid w:val="00E244B4"/>
    <w:rsid w:val="00E2520C"/>
    <w:rsid w:val="00E27117"/>
    <w:rsid w:val="00E2767F"/>
    <w:rsid w:val="00E2793E"/>
    <w:rsid w:val="00E27F58"/>
    <w:rsid w:val="00E3095A"/>
    <w:rsid w:val="00E3135B"/>
    <w:rsid w:val="00E31EEB"/>
    <w:rsid w:val="00E332E4"/>
    <w:rsid w:val="00E3384C"/>
    <w:rsid w:val="00E33A02"/>
    <w:rsid w:val="00E34E86"/>
    <w:rsid w:val="00E35478"/>
    <w:rsid w:val="00E359CA"/>
    <w:rsid w:val="00E3648A"/>
    <w:rsid w:val="00E3673D"/>
    <w:rsid w:val="00E36819"/>
    <w:rsid w:val="00E37D41"/>
    <w:rsid w:val="00E41835"/>
    <w:rsid w:val="00E422E6"/>
    <w:rsid w:val="00E42776"/>
    <w:rsid w:val="00E428CA"/>
    <w:rsid w:val="00E4454D"/>
    <w:rsid w:val="00E45DD4"/>
    <w:rsid w:val="00E46774"/>
    <w:rsid w:val="00E4791F"/>
    <w:rsid w:val="00E50821"/>
    <w:rsid w:val="00E51369"/>
    <w:rsid w:val="00E53040"/>
    <w:rsid w:val="00E5332E"/>
    <w:rsid w:val="00E53541"/>
    <w:rsid w:val="00E53C61"/>
    <w:rsid w:val="00E53E59"/>
    <w:rsid w:val="00E53E98"/>
    <w:rsid w:val="00E541F4"/>
    <w:rsid w:val="00E5497D"/>
    <w:rsid w:val="00E54ADA"/>
    <w:rsid w:val="00E550A8"/>
    <w:rsid w:val="00E55C97"/>
    <w:rsid w:val="00E55EFF"/>
    <w:rsid w:val="00E57C85"/>
    <w:rsid w:val="00E6000F"/>
    <w:rsid w:val="00E60466"/>
    <w:rsid w:val="00E604F7"/>
    <w:rsid w:val="00E60523"/>
    <w:rsid w:val="00E60C67"/>
    <w:rsid w:val="00E60D4C"/>
    <w:rsid w:val="00E61418"/>
    <w:rsid w:val="00E63323"/>
    <w:rsid w:val="00E64767"/>
    <w:rsid w:val="00E65088"/>
    <w:rsid w:val="00E654FF"/>
    <w:rsid w:val="00E65982"/>
    <w:rsid w:val="00E65EE0"/>
    <w:rsid w:val="00E66160"/>
    <w:rsid w:val="00E6664D"/>
    <w:rsid w:val="00E66C6F"/>
    <w:rsid w:val="00E677B2"/>
    <w:rsid w:val="00E678A6"/>
    <w:rsid w:val="00E67F31"/>
    <w:rsid w:val="00E70DE5"/>
    <w:rsid w:val="00E7119F"/>
    <w:rsid w:val="00E71E31"/>
    <w:rsid w:val="00E71EBA"/>
    <w:rsid w:val="00E725B1"/>
    <w:rsid w:val="00E73012"/>
    <w:rsid w:val="00E74072"/>
    <w:rsid w:val="00E750D5"/>
    <w:rsid w:val="00E7696A"/>
    <w:rsid w:val="00E76A56"/>
    <w:rsid w:val="00E76B97"/>
    <w:rsid w:val="00E76FD3"/>
    <w:rsid w:val="00E7718E"/>
    <w:rsid w:val="00E777AF"/>
    <w:rsid w:val="00E777F8"/>
    <w:rsid w:val="00E807B4"/>
    <w:rsid w:val="00E80F54"/>
    <w:rsid w:val="00E83E51"/>
    <w:rsid w:val="00E84296"/>
    <w:rsid w:val="00E845F3"/>
    <w:rsid w:val="00E84B03"/>
    <w:rsid w:val="00E84FCE"/>
    <w:rsid w:val="00E855E8"/>
    <w:rsid w:val="00E867D4"/>
    <w:rsid w:val="00E87B10"/>
    <w:rsid w:val="00E902AB"/>
    <w:rsid w:val="00E90C53"/>
    <w:rsid w:val="00E90F78"/>
    <w:rsid w:val="00E91A36"/>
    <w:rsid w:val="00E91DF8"/>
    <w:rsid w:val="00E92A40"/>
    <w:rsid w:val="00E9308B"/>
    <w:rsid w:val="00E930D4"/>
    <w:rsid w:val="00E93471"/>
    <w:rsid w:val="00E93FE3"/>
    <w:rsid w:val="00E958B5"/>
    <w:rsid w:val="00E95A75"/>
    <w:rsid w:val="00E95EBC"/>
    <w:rsid w:val="00E9633B"/>
    <w:rsid w:val="00E979D2"/>
    <w:rsid w:val="00EA0256"/>
    <w:rsid w:val="00EA0B5B"/>
    <w:rsid w:val="00EA1043"/>
    <w:rsid w:val="00EA15EC"/>
    <w:rsid w:val="00EA1E56"/>
    <w:rsid w:val="00EA2847"/>
    <w:rsid w:val="00EA28FB"/>
    <w:rsid w:val="00EA39E8"/>
    <w:rsid w:val="00EA4766"/>
    <w:rsid w:val="00EA4B34"/>
    <w:rsid w:val="00EA5179"/>
    <w:rsid w:val="00EA570D"/>
    <w:rsid w:val="00EA593D"/>
    <w:rsid w:val="00EA5CCB"/>
    <w:rsid w:val="00EA633E"/>
    <w:rsid w:val="00EA664C"/>
    <w:rsid w:val="00EA66A3"/>
    <w:rsid w:val="00EA6792"/>
    <w:rsid w:val="00EA6C38"/>
    <w:rsid w:val="00EA6F05"/>
    <w:rsid w:val="00EA76B8"/>
    <w:rsid w:val="00EA773E"/>
    <w:rsid w:val="00EA791A"/>
    <w:rsid w:val="00EA7A98"/>
    <w:rsid w:val="00EB17AD"/>
    <w:rsid w:val="00EB25B1"/>
    <w:rsid w:val="00EB3120"/>
    <w:rsid w:val="00EB3D50"/>
    <w:rsid w:val="00EB45BB"/>
    <w:rsid w:val="00EB4862"/>
    <w:rsid w:val="00EB4FEF"/>
    <w:rsid w:val="00EB71DB"/>
    <w:rsid w:val="00EB77F5"/>
    <w:rsid w:val="00EC03BE"/>
    <w:rsid w:val="00EC04C9"/>
    <w:rsid w:val="00EC07DE"/>
    <w:rsid w:val="00EC10A9"/>
    <w:rsid w:val="00EC1B2D"/>
    <w:rsid w:val="00EC1D3E"/>
    <w:rsid w:val="00EC2B89"/>
    <w:rsid w:val="00EC3AEF"/>
    <w:rsid w:val="00EC3F42"/>
    <w:rsid w:val="00EC3F7C"/>
    <w:rsid w:val="00EC4AF7"/>
    <w:rsid w:val="00EC5F42"/>
    <w:rsid w:val="00EC602A"/>
    <w:rsid w:val="00EC615E"/>
    <w:rsid w:val="00EC7B50"/>
    <w:rsid w:val="00ED00DE"/>
    <w:rsid w:val="00ED048F"/>
    <w:rsid w:val="00ED0A8D"/>
    <w:rsid w:val="00ED259F"/>
    <w:rsid w:val="00ED2688"/>
    <w:rsid w:val="00ED4FD5"/>
    <w:rsid w:val="00EE082D"/>
    <w:rsid w:val="00EE08C5"/>
    <w:rsid w:val="00EE0C1E"/>
    <w:rsid w:val="00EE4827"/>
    <w:rsid w:val="00EE4B40"/>
    <w:rsid w:val="00EE4C19"/>
    <w:rsid w:val="00EE5469"/>
    <w:rsid w:val="00EE6E5D"/>
    <w:rsid w:val="00EE6F4C"/>
    <w:rsid w:val="00EF0701"/>
    <w:rsid w:val="00EF0DBD"/>
    <w:rsid w:val="00EF12AC"/>
    <w:rsid w:val="00EF21E2"/>
    <w:rsid w:val="00EF2A05"/>
    <w:rsid w:val="00EF2C8E"/>
    <w:rsid w:val="00EF2D06"/>
    <w:rsid w:val="00EF2E76"/>
    <w:rsid w:val="00EF3130"/>
    <w:rsid w:val="00EF5EE4"/>
    <w:rsid w:val="00EF6733"/>
    <w:rsid w:val="00EF692D"/>
    <w:rsid w:val="00EF6A09"/>
    <w:rsid w:val="00EF6CDF"/>
    <w:rsid w:val="00EF72A1"/>
    <w:rsid w:val="00EF738B"/>
    <w:rsid w:val="00F01548"/>
    <w:rsid w:val="00F01774"/>
    <w:rsid w:val="00F01D83"/>
    <w:rsid w:val="00F01FD0"/>
    <w:rsid w:val="00F0320E"/>
    <w:rsid w:val="00F0328A"/>
    <w:rsid w:val="00F032EB"/>
    <w:rsid w:val="00F0387E"/>
    <w:rsid w:val="00F03B43"/>
    <w:rsid w:val="00F03D13"/>
    <w:rsid w:val="00F040F9"/>
    <w:rsid w:val="00F04156"/>
    <w:rsid w:val="00F05193"/>
    <w:rsid w:val="00F06541"/>
    <w:rsid w:val="00F070D6"/>
    <w:rsid w:val="00F07B6C"/>
    <w:rsid w:val="00F07EC4"/>
    <w:rsid w:val="00F07F4E"/>
    <w:rsid w:val="00F11730"/>
    <w:rsid w:val="00F11CD8"/>
    <w:rsid w:val="00F12139"/>
    <w:rsid w:val="00F133E1"/>
    <w:rsid w:val="00F13F7A"/>
    <w:rsid w:val="00F1444B"/>
    <w:rsid w:val="00F152CC"/>
    <w:rsid w:val="00F15D19"/>
    <w:rsid w:val="00F16046"/>
    <w:rsid w:val="00F161BA"/>
    <w:rsid w:val="00F16644"/>
    <w:rsid w:val="00F16ED6"/>
    <w:rsid w:val="00F173FD"/>
    <w:rsid w:val="00F1798B"/>
    <w:rsid w:val="00F17A3F"/>
    <w:rsid w:val="00F20249"/>
    <w:rsid w:val="00F2058B"/>
    <w:rsid w:val="00F20DB4"/>
    <w:rsid w:val="00F212BA"/>
    <w:rsid w:val="00F22471"/>
    <w:rsid w:val="00F229F9"/>
    <w:rsid w:val="00F22E65"/>
    <w:rsid w:val="00F2372B"/>
    <w:rsid w:val="00F2399A"/>
    <w:rsid w:val="00F244C2"/>
    <w:rsid w:val="00F24927"/>
    <w:rsid w:val="00F24A76"/>
    <w:rsid w:val="00F25EF9"/>
    <w:rsid w:val="00F2776C"/>
    <w:rsid w:val="00F27C7B"/>
    <w:rsid w:val="00F30825"/>
    <w:rsid w:val="00F30B86"/>
    <w:rsid w:val="00F3162C"/>
    <w:rsid w:val="00F32027"/>
    <w:rsid w:val="00F32039"/>
    <w:rsid w:val="00F32A82"/>
    <w:rsid w:val="00F32FFD"/>
    <w:rsid w:val="00F349D1"/>
    <w:rsid w:val="00F34BD1"/>
    <w:rsid w:val="00F3530F"/>
    <w:rsid w:val="00F3586F"/>
    <w:rsid w:val="00F35CFC"/>
    <w:rsid w:val="00F370D1"/>
    <w:rsid w:val="00F405FE"/>
    <w:rsid w:val="00F4106F"/>
    <w:rsid w:val="00F41185"/>
    <w:rsid w:val="00F417EA"/>
    <w:rsid w:val="00F41FE3"/>
    <w:rsid w:val="00F42037"/>
    <w:rsid w:val="00F43492"/>
    <w:rsid w:val="00F43E02"/>
    <w:rsid w:val="00F45E58"/>
    <w:rsid w:val="00F46173"/>
    <w:rsid w:val="00F4631D"/>
    <w:rsid w:val="00F47191"/>
    <w:rsid w:val="00F4738C"/>
    <w:rsid w:val="00F47ABE"/>
    <w:rsid w:val="00F50EF1"/>
    <w:rsid w:val="00F525F5"/>
    <w:rsid w:val="00F52C01"/>
    <w:rsid w:val="00F5453A"/>
    <w:rsid w:val="00F54BC2"/>
    <w:rsid w:val="00F55138"/>
    <w:rsid w:val="00F55945"/>
    <w:rsid w:val="00F5607A"/>
    <w:rsid w:val="00F56484"/>
    <w:rsid w:val="00F569B9"/>
    <w:rsid w:val="00F56C05"/>
    <w:rsid w:val="00F56E59"/>
    <w:rsid w:val="00F6097F"/>
    <w:rsid w:val="00F60B3A"/>
    <w:rsid w:val="00F60EFB"/>
    <w:rsid w:val="00F61161"/>
    <w:rsid w:val="00F6182E"/>
    <w:rsid w:val="00F626D6"/>
    <w:rsid w:val="00F628A6"/>
    <w:rsid w:val="00F62EA8"/>
    <w:rsid w:val="00F632FA"/>
    <w:rsid w:val="00F63B0A"/>
    <w:rsid w:val="00F63DC4"/>
    <w:rsid w:val="00F63E12"/>
    <w:rsid w:val="00F64636"/>
    <w:rsid w:val="00F646C1"/>
    <w:rsid w:val="00F6537B"/>
    <w:rsid w:val="00F66D2F"/>
    <w:rsid w:val="00F66F60"/>
    <w:rsid w:val="00F702F9"/>
    <w:rsid w:val="00F70310"/>
    <w:rsid w:val="00F71912"/>
    <w:rsid w:val="00F719DE"/>
    <w:rsid w:val="00F735BB"/>
    <w:rsid w:val="00F7435E"/>
    <w:rsid w:val="00F74937"/>
    <w:rsid w:val="00F7496A"/>
    <w:rsid w:val="00F760CD"/>
    <w:rsid w:val="00F774C1"/>
    <w:rsid w:val="00F77BF4"/>
    <w:rsid w:val="00F809BC"/>
    <w:rsid w:val="00F80C35"/>
    <w:rsid w:val="00F82A79"/>
    <w:rsid w:val="00F82B68"/>
    <w:rsid w:val="00F8318B"/>
    <w:rsid w:val="00F83C00"/>
    <w:rsid w:val="00F84490"/>
    <w:rsid w:val="00F84A46"/>
    <w:rsid w:val="00F8521A"/>
    <w:rsid w:val="00F85DC0"/>
    <w:rsid w:val="00F86182"/>
    <w:rsid w:val="00F863A4"/>
    <w:rsid w:val="00F866FB"/>
    <w:rsid w:val="00F86AED"/>
    <w:rsid w:val="00F87B9A"/>
    <w:rsid w:val="00F901D6"/>
    <w:rsid w:val="00F902CB"/>
    <w:rsid w:val="00F90D2E"/>
    <w:rsid w:val="00F91D86"/>
    <w:rsid w:val="00F924A1"/>
    <w:rsid w:val="00F92923"/>
    <w:rsid w:val="00F92B60"/>
    <w:rsid w:val="00F9306F"/>
    <w:rsid w:val="00F9397F"/>
    <w:rsid w:val="00F93DAF"/>
    <w:rsid w:val="00F94C74"/>
    <w:rsid w:val="00F95ADC"/>
    <w:rsid w:val="00F96CB3"/>
    <w:rsid w:val="00F97955"/>
    <w:rsid w:val="00F979A4"/>
    <w:rsid w:val="00F97AB2"/>
    <w:rsid w:val="00FA0767"/>
    <w:rsid w:val="00FA0C50"/>
    <w:rsid w:val="00FA1886"/>
    <w:rsid w:val="00FA1977"/>
    <w:rsid w:val="00FA2C8F"/>
    <w:rsid w:val="00FA37F1"/>
    <w:rsid w:val="00FA39D2"/>
    <w:rsid w:val="00FA3B92"/>
    <w:rsid w:val="00FA3CF8"/>
    <w:rsid w:val="00FA53AB"/>
    <w:rsid w:val="00FA6856"/>
    <w:rsid w:val="00FA6CFE"/>
    <w:rsid w:val="00FA7328"/>
    <w:rsid w:val="00FA7C6D"/>
    <w:rsid w:val="00FB03EA"/>
    <w:rsid w:val="00FB1962"/>
    <w:rsid w:val="00FB4141"/>
    <w:rsid w:val="00FB4F84"/>
    <w:rsid w:val="00FB501C"/>
    <w:rsid w:val="00FB52F3"/>
    <w:rsid w:val="00FB6B74"/>
    <w:rsid w:val="00FB6CCD"/>
    <w:rsid w:val="00FB700B"/>
    <w:rsid w:val="00FB74C9"/>
    <w:rsid w:val="00FB7598"/>
    <w:rsid w:val="00FB7C17"/>
    <w:rsid w:val="00FC0781"/>
    <w:rsid w:val="00FC0D33"/>
    <w:rsid w:val="00FC1269"/>
    <w:rsid w:val="00FC1D4F"/>
    <w:rsid w:val="00FC2BA3"/>
    <w:rsid w:val="00FC6C75"/>
    <w:rsid w:val="00FC71D7"/>
    <w:rsid w:val="00FC79E0"/>
    <w:rsid w:val="00FC7E1A"/>
    <w:rsid w:val="00FD0D5B"/>
    <w:rsid w:val="00FD1195"/>
    <w:rsid w:val="00FD194D"/>
    <w:rsid w:val="00FD1CC7"/>
    <w:rsid w:val="00FD2879"/>
    <w:rsid w:val="00FD3250"/>
    <w:rsid w:val="00FD3BD9"/>
    <w:rsid w:val="00FD4693"/>
    <w:rsid w:val="00FD73B9"/>
    <w:rsid w:val="00FD73F6"/>
    <w:rsid w:val="00FD7DAF"/>
    <w:rsid w:val="00FE085B"/>
    <w:rsid w:val="00FE11A8"/>
    <w:rsid w:val="00FE1846"/>
    <w:rsid w:val="00FE1CED"/>
    <w:rsid w:val="00FE1F6A"/>
    <w:rsid w:val="00FE367A"/>
    <w:rsid w:val="00FE3733"/>
    <w:rsid w:val="00FE3DB3"/>
    <w:rsid w:val="00FE494B"/>
    <w:rsid w:val="00FE5C15"/>
    <w:rsid w:val="00FE78D3"/>
    <w:rsid w:val="00FF0C9D"/>
    <w:rsid w:val="00FF1299"/>
    <w:rsid w:val="00FF1A46"/>
    <w:rsid w:val="00FF1FA5"/>
    <w:rsid w:val="00FF2B38"/>
    <w:rsid w:val="00FF3CFD"/>
    <w:rsid w:val="00FF4697"/>
    <w:rsid w:val="00FF4ADC"/>
    <w:rsid w:val="00FF4D8E"/>
    <w:rsid w:val="00FF54DA"/>
    <w:rsid w:val="00FF563D"/>
    <w:rsid w:val="00FF56D7"/>
    <w:rsid w:val="00FF5B4C"/>
    <w:rsid w:val="00FF6300"/>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73ECE"/>
  <w15:docId w15:val="{A87E3E49-7A93-45DC-98E8-55C56983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UNDERRUBRIK 1-2,DO NOT USE_h2,h2,h21,H2 Char,h2 Char"/>
    <w:basedOn w:val="1"/>
    <w:next w:val="a"/>
    <w:link w:val="2Char"/>
    <w:qFormat/>
    <w:rsid w:val="002958FD"/>
    <w:pPr>
      <w:numPr>
        <w:ilvl w:val="1"/>
        <w:numId w:val="1"/>
      </w:numPr>
      <w:tabs>
        <w:tab w:val="clear" w:pos="426"/>
        <w:tab w:val="clear" w:pos="2196"/>
        <w:tab w:val="num" w:pos="576"/>
      </w:tabs>
      <w:spacing w:before="180"/>
      <w:ind w:left="576"/>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2162A"/>
    <w:pPr>
      <w:keepNext/>
      <w:ind w:leftChars="300" w:left="300" w:hangingChars="200" w:hanging="2000"/>
      <w:outlineLvl w:val="2"/>
    </w:pPr>
    <w:rPr>
      <w:rFonts w:ascii="맑은 고딕" w:hAnsi="맑은 고딕"/>
    </w:rPr>
  </w:style>
  <w:style w:type="paragraph" w:styleId="40">
    <w:name w:val="heading 4"/>
    <w:aliases w:val="h4,H4,H41,h41,H42,h42,H43,h43,H411,h411,H421,h421,H44,h44,H412,h412,H422,h422,H431,h431,H45,h45,H413,h413,H423,h423,H432,h432,H46,h46,H47,h47,Memo Heading 4,heading 4,Memo Heading 5"/>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1,UNDERRUBRIK 1-2 Char,DO NOT USE_h2 Char,h2 Char1,h21 Char,H2 Char Char,h2 Char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0"/>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Char"/>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5"/>
    <w:semiHidden/>
    <w:unhideWhenUsed/>
    <w:rsid w:val="00475C77"/>
    <w:rPr>
      <w:rFonts w:ascii="굴림" w:eastAsia="굴림"/>
      <w:sz w:val="18"/>
      <w:szCs w:val="18"/>
    </w:rPr>
  </w:style>
  <w:style w:type="character" w:customStyle="1" w:styleId="Char5">
    <w:name w:val="문서 구조 Char"/>
    <w:basedOn w:val="a0"/>
    <w:link w:val="af3"/>
    <w:semiHidden/>
    <w:rsid w:val="00475C77"/>
    <w:rPr>
      <w:rFonts w:ascii="굴림" w:eastAsia="굴림"/>
      <w:sz w:val="18"/>
      <w:szCs w:val="18"/>
      <w:lang w:val="en-GB" w:eastAsia="en-US"/>
    </w:rPr>
  </w:style>
  <w:style w:type="paragraph" w:customStyle="1" w:styleId="LGTdoc1">
    <w:name w:val="LGTdoc_제목1"/>
    <w:basedOn w:val="a"/>
    <w:rsid w:val="005837AB"/>
    <w:pPr>
      <w:adjustRightInd w:val="0"/>
      <w:snapToGrid w:val="0"/>
      <w:spacing w:beforeLines="50" w:after="100" w:afterAutospacing="1"/>
      <w:jc w:val="both"/>
    </w:pPr>
    <w:rPr>
      <w:rFonts w:eastAsia="바탕"/>
      <w:b/>
      <w:snapToGrid w:val="0"/>
      <w:sz w:val="28"/>
      <w:lang w:eastAsia="ko-KR"/>
    </w:rPr>
  </w:style>
  <w:style w:type="character" w:customStyle="1" w:styleId="Char0">
    <w:name w:val="캡션 Char"/>
    <w:aliases w:val="cap Char1,cap Char Char,Caption Char Char,Caption Char1 Char Char,cap Char Char1 Char,Caption Char Char1 Char Char,cap Char2 Char"/>
    <w:link w:val="a7"/>
    <w:rsid w:val="005837AB"/>
    <w:rPr>
      <w:rFonts w:eastAsia="맑은 고딕"/>
      <w:b/>
      <w:bCs/>
      <w:lang w:val="en-GB" w:eastAsia="en-US"/>
    </w:rPr>
  </w:style>
  <w:style w:type="paragraph" w:customStyle="1" w:styleId="TF">
    <w:name w:val="TF"/>
    <w:basedOn w:val="TH"/>
    <w:link w:val="TFChar"/>
    <w:rsid w:val="00BD7C66"/>
    <w:pPr>
      <w:keepNext w:val="0"/>
      <w:spacing w:before="0" w:after="240"/>
    </w:pPr>
    <w:rPr>
      <w:rFonts w:eastAsiaTheme="minorEastAsia"/>
      <w:bCs/>
    </w:rPr>
  </w:style>
  <w:style w:type="character" w:customStyle="1" w:styleId="TFChar">
    <w:name w:val="TF Char"/>
    <w:link w:val="TF"/>
    <w:rsid w:val="00BD7C66"/>
    <w:rPr>
      <w:rFonts w:ascii="Arial" w:eastAsiaTheme="minorEastAsia" w:hAnsi="Arial"/>
      <w:b/>
      <w:bCs/>
      <w:lang w:val="en-GB"/>
    </w:rPr>
  </w:style>
  <w:style w:type="paragraph" w:customStyle="1" w:styleId="NO">
    <w:name w:val="NO"/>
    <w:basedOn w:val="a"/>
    <w:link w:val="NOChar"/>
    <w:rsid w:val="00F569B9"/>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F569B9"/>
    <w:rPr>
      <w:rFonts w:eastAsiaTheme="minorEastAsia"/>
      <w:lang w:val="en-GB"/>
    </w:rPr>
  </w:style>
  <w:style w:type="paragraph" w:styleId="4">
    <w:name w:val="List Number 4"/>
    <w:basedOn w:val="a"/>
    <w:rsid w:val="00F569B9"/>
    <w:pPr>
      <w:numPr>
        <w:numId w:val="2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EQChar">
    <w:name w:val="EQ Char"/>
    <w:link w:val="EQ"/>
    <w:rsid w:val="00F569B9"/>
    <w:rPr>
      <w:rFonts w:eastAsia="맑은 고딕"/>
      <w:noProof/>
      <w:lang w:val="en-GB" w:eastAsia="en-US"/>
    </w:rPr>
  </w:style>
  <w:style w:type="character" w:customStyle="1" w:styleId="Heading3Char">
    <w:name w:val="Heading 3 Char"/>
    <w:basedOn w:val="a0"/>
    <w:rsid w:val="00EB4862"/>
    <w:rPr>
      <w:rFonts w:ascii="Arial" w:hAnsi="Arial"/>
      <w:sz w:val="28"/>
      <w:lang w:val="en-GB" w:eastAsia="en-US" w:bidi="ar-SA"/>
    </w:rPr>
  </w:style>
  <w:style w:type="paragraph" w:customStyle="1" w:styleId="FL">
    <w:name w:val="FL"/>
    <w:basedOn w:val="a"/>
    <w:rsid w:val="00EB48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rsid w:val="00EB4862"/>
    <w:rPr>
      <w:rFonts w:eastAsia="맑은 고딕"/>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a0"/>
    <w:rsid w:val="002A5CA4"/>
    <w:rPr>
      <w:b/>
      <w:sz w:val="24"/>
      <w:lang w:val="en-GB" w:eastAsia="en-US" w:bidi="ar-SA"/>
    </w:rPr>
  </w:style>
  <w:style w:type="character" w:customStyle="1" w:styleId="TALChar">
    <w:name w:val="TAL Char"/>
    <w:basedOn w:val="a0"/>
    <w:rsid w:val="002A5CA4"/>
    <w:rPr>
      <w:rFonts w:ascii="Arial" w:hAnsi="Arial"/>
      <w:sz w:val="18"/>
      <w:lang w:val="en-GB" w:eastAsia="en-US" w:bidi="ar-SA"/>
    </w:rPr>
  </w:style>
  <w:style w:type="paragraph" w:customStyle="1" w:styleId="EditorsNote">
    <w:name w:val="Editor's Note"/>
    <w:basedOn w:val="NO"/>
    <w:rsid w:val="004F7196"/>
    <w:rPr>
      <w:rFonts w:eastAsia="Times New Roman"/>
      <w:color w:val="FF0000"/>
      <w:lang w:eastAsia="x-none"/>
    </w:rPr>
  </w:style>
  <w:style w:type="character" w:customStyle="1" w:styleId="NOChar1">
    <w:name w:val="NO Char1"/>
    <w:rsid w:val="004B44D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130438">
      <w:bodyDiv w:val="1"/>
      <w:marLeft w:val="0"/>
      <w:marRight w:val="0"/>
      <w:marTop w:val="0"/>
      <w:marBottom w:val="0"/>
      <w:divBdr>
        <w:top w:val="none" w:sz="0" w:space="0" w:color="auto"/>
        <w:left w:val="none" w:sz="0" w:space="0" w:color="auto"/>
        <w:bottom w:val="none" w:sz="0" w:space="0" w:color="auto"/>
        <w:right w:val="none" w:sz="0" w:space="0" w:color="auto"/>
      </w:divBdr>
    </w:div>
    <w:div w:id="981229621">
      <w:bodyDiv w:val="1"/>
      <w:marLeft w:val="0"/>
      <w:marRight w:val="0"/>
      <w:marTop w:val="0"/>
      <w:marBottom w:val="0"/>
      <w:divBdr>
        <w:top w:val="none" w:sz="0" w:space="0" w:color="auto"/>
        <w:left w:val="none" w:sz="0" w:space="0" w:color="auto"/>
        <w:bottom w:val="none" w:sz="0" w:space="0" w:color="auto"/>
        <w:right w:val="none" w:sz="0" w:space="0" w:color="auto"/>
      </w:divBdr>
    </w:div>
    <w:div w:id="1043293132">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9638449">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0842739">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8048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13138571">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1825762">
      <w:bodyDiv w:val="1"/>
      <w:marLeft w:val="0"/>
      <w:marRight w:val="0"/>
      <w:marTop w:val="0"/>
      <w:marBottom w:val="0"/>
      <w:divBdr>
        <w:top w:val="none" w:sz="0" w:space="0" w:color="auto"/>
        <w:left w:val="none" w:sz="0" w:space="0" w:color="auto"/>
        <w:bottom w:val="none" w:sz="0" w:space="0" w:color="auto"/>
        <w:right w:val="none" w:sz="0" w:space="0" w:color="auto"/>
      </w:divBdr>
    </w:div>
    <w:div w:id="214134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CE0DA-8D11-4577-A0F1-2835B7F19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8</Pages>
  <Words>3653</Words>
  <Characters>20827</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24432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5</cp:revision>
  <cp:lastPrinted>2012-03-15T10:36:00Z</cp:lastPrinted>
  <dcterms:created xsi:type="dcterms:W3CDTF">2017-03-24T05:10:00Z</dcterms:created>
  <dcterms:modified xsi:type="dcterms:W3CDTF">2017-03-24T08:39:00Z</dcterms:modified>
</cp:coreProperties>
</file>